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BC7E7" w14:textId="7E07383E" w:rsidR="000769D2" w:rsidRDefault="000769D2" w:rsidP="006C4A5D">
      <w:pPr>
        <w:pStyle w:val="Title"/>
      </w:pPr>
      <w:bookmarkStart w:id="0" w:name="_Toc205632711"/>
      <w:bookmarkStart w:id="1" w:name="_GoBack"/>
      <w:bookmarkEnd w:id="1"/>
      <w:r>
        <w:t>Provider Utilities 1.0 (Patch OR*3.0*453)</w:t>
      </w:r>
    </w:p>
    <w:p w14:paraId="5BA05839" w14:textId="2BFC02E1" w:rsidR="00EE55AD" w:rsidRPr="00EE55AD" w:rsidRDefault="00EE55AD" w:rsidP="006C4A5D">
      <w:pPr>
        <w:pStyle w:val="Title"/>
      </w:pPr>
      <w:r w:rsidRPr="006A0036">
        <w:t>User Guide</w:t>
      </w:r>
      <w:r w:rsidR="000769D2">
        <w:t>: GUI Version</w:t>
      </w:r>
    </w:p>
    <w:p w14:paraId="5BA0583A" w14:textId="77777777" w:rsidR="00C85412" w:rsidRDefault="006C4A5D" w:rsidP="00C85412">
      <w:pPr>
        <w:pStyle w:val="CoverTitleInstructions"/>
        <w:spacing w:before="1200" w:after="1200"/>
      </w:pPr>
      <w:r>
        <w:rPr>
          <w:noProof/>
        </w:rPr>
        <w:drawing>
          <wp:inline distT="0" distB="0" distL="0" distR="0" wp14:anchorId="5BA0597C" wp14:editId="5BA0597D">
            <wp:extent cx="2114550" cy="2057400"/>
            <wp:effectExtent l="0" t="0" r="0" b="0"/>
            <wp:docPr id="3" name="Picture 3"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76059FCD" w14:textId="24B73BF5" w:rsidR="000769D2" w:rsidRDefault="00EA0C32" w:rsidP="00C85412">
      <w:pPr>
        <w:pStyle w:val="Title2"/>
      </w:pPr>
      <w:r>
        <w:t>March</w:t>
      </w:r>
      <w:r w:rsidR="000769D2">
        <w:t xml:space="preserve"> 2018</w:t>
      </w:r>
    </w:p>
    <w:p w14:paraId="5BA0583C" w14:textId="50D07049" w:rsidR="00C85412" w:rsidRPr="00FB15D6" w:rsidRDefault="00C85412" w:rsidP="00C85412">
      <w:pPr>
        <w:pStyle w:val="Title2"/>
      </w:pPr>
      <w:r w:rsidRPr="00FB15D6">
        <w:t>Department of Veterans Affairs</w:t>
      </w:r>
    </w:p>
    <w:p w14:paraId="5BA0583D" w14:textId="77777777" w:rsidR="00C85412" w:rsidRDefault="00C85412" w:rsidP="00C85412">
      <w:pPr>
        <w:pStyle w:val="ProjectName"/>
        <w:spacing w:before="120" w:after="120"/>
        <w:rPr>
          <w:rFonts w:cs="Arial"/>
          <w:sz w:val="28"/>
          <w:szCs w:val="28"/>
        </w:rPr>
      </w:pPr>
      <w:r w:rsidRPr="00B91513">
        <w:rPr>
          <w:rFonts w:cs="Arial"/>
          <w:sz w:val="28"/>
          <w:szCs w:val="28"/>
        </w:rPr>
        <w:t>Office of Information and Technology (OI&amp;T)</w:t>
      </w:r>
    </w:p>
    <w:p w14:paraId="5BA0583E" w14:textId="1436AF8A" w:rsidR="00C85412" w:rsidRDefault="006B1767" w:rsidP="00C85412">
      <w:pPr>
        <w:pStyle w:val="Title2"/>
      </w:pPr>
      <w:r>
        <w:t>Enterprise Program Management Office</w:t>
      </w:r>
    </w:p>
    <w:p w14:paraId="5BA05843" w14:textId="6B6C9261" w:rsidR="00A962F0" w:rsidRPr="00A962F0" w:rsidRDefault="00A962F0" w:rsidP="00A962F0">
      <w:pPr>
        <w:keepLines/>
        <w:tabs>
          <w:tab w:val="left" w:pos="720"/>
        </w:tabs>
        <w:autoSpaceDE w:val="0"/>
        <w:autoSpaceDN w:val="0"/>
        <w:adjustRightInd w:val="0"/>
        <w:spacing w:before="120" w:after="120" w:line="240" w:lineRule="atLeast"/>
        <w:rPr>
          <w:i/>
          <w:iCs/>
          <w:color w:val="0000FF"/>
          <w:sz w:val="24"/>
          <w:szCs w:val="20"/>
        </w:rPr>
      </w:pPr>
      <w:r w:rsidRPr="00A962F0">
        <w:rPr>
          <w:i/>
          <w:iCs/>
          <w:color w:val="0000FF"/>
          <w:sz w:val="24"/>
          <w:szCs w:val="20"/>
        </w:rPr>
        <w:t xml:space="preserve"> </w:t>
      </w:r>
    </w:p>
    <w:p w14:paraId="5BA05844" w14:textId="77777777" w:rsidR="00A962F0" w:rsidRDefault="00A962F0" w:rsidP="00A962F0">
      <w:pPr>
        <w:keepLines/>
        <w:tabs>
          <w:tab w:val="left" w:pos="720"/>
        </w:tabs>
        <w:autoSpaceDE w:val="0"/>
        <w:autoSpaceDN w:val="0"/>
        <w:adjustRightInd w:val="0"/>
        <w:spacing w:before="120" w:after="120" w:line="240" w:lineRule="atLeast"/>
        <w:rPr>
          <w:i/>
          <w:iCs/>
          <w:color w:val="0000FF"/>
          <w:sz w:val="24"/>
          <w:szCs w:val="20"/>
        </w:rPr>
        <w:sectPr w:rsidR="00A962F0" w:rsidSect="00EE55AD">
          <w:pgSz w:w="12240" w:h="15840" w:code="1"/>
          <w:pgMar w:top="2250" w:right="1440" w:bottom="1440" w:left="1440" w:header="720" w:footer="720" w:gutter="0"/>
          <w:pgNumType w:start="1"/>
          <w:cols w:space="720"/>
          <w:vAlign w:val="center"/>
          <w:docGrid w:linePitch="360"/>
        </w:sectPr>
      </w:pPr>
    </w:p>
    <w:p w14:paraId="5BA05847" w14:textId="77777777" w:rsidR="004F3A80" w:rsidRDefault="004F3A80" w:rsidP="004F3A80">
      <w:pPr>
        <w:pStyle w:val="Title2"/>
      </w:pPr>
      <w:r>
        <w:lastRenderedPageBreak/>
        <w:t>Revision History</w:t>
      </w:r>
    </w:p>
    <w:p w14:paraId="5BA05848" w14:textId="77777777" w:rsidR="000A0911" w:rsidRDefault="00817918" w:rsidP="000A0911">
      <w:pPr>
        <w:pStyle w:val="BodyText"/>
      </w:pPr>
      <w:r>
        <w:t>NOTE</w:t>
      </w:r>
      <w:r w:rsidR="000A0911" w:rsidRPr="000A0911">
        <w:t>: The revision history cycle begins once changes or enhancements are requested after the document has been baselined.</w:t>
      </w:r>
    </w:p>
    <w:p w14:paraId="5BA05849" w14:textId="77777777" w:rsidR="005A10DA" w:rsidRPr="00040EA7" w:rsidRDefault="00040EA7" w:rsidP="00CE5E6F">
      <w:pPr>
        <w:pStyle w:val="InstructionalText1"/>
        <w:rPr>
          <w:u w:val="single"/>
        </w:rPr>
      </w:pPr>
      <w:r w:rsidRPr="00040EA7">
        <w:rPr>
          <w:u w:val="single"/>
        </w:rPr>
        <w:t>Instructions</w:t>
      </w:r>
      <w:r>
        <w:rPr>
          <w:u w:val="single"/>
        </w:rPr>
        <w:t xml:space="preserve"> for Revision History</w:t>
      </w:r>
      <w:r w:rsidRPr="00040EA7">
        <w:rPr>
          <w:u w:val="single"/>
        </w:rPr>
        <w:t>:</w:t>
      </w:r>
    </w:p>
    <w:p w14:paraId="5BA0584A" w14:textId="77777777" w:rsidR="00CE5E6F" w:rsidRPr="00AE0630" w:rsidRDefault="00CE5E6F" w:rsidP="00CE5E6F">
      <w:pPr>
        <w:pStyle w:val="InstructionalText1"/>
      </w:pPr>
      <w:r w:rsidRPr="00450320">
        <w:t>Place latest revisions at top of table.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Table used for formatting, only."/>
        <w:tblDescription w:val="Revision History, including date of changes, version number, description of change, and author of change."/>
      </w:tblPr>
      <w:tblGrid>
        <w:gridCol w:w="1722"/>
        <w:gridCol w:w="1134"/>
        <w:gridCol w:w="4399"/>
        <w:gridCol w:w="2321"/>
      </w:tblGrid>
      <w:tr w:rsidR="004F3A80" w:rsidRPr="005068FD" w14:paraId="5BA0584F" w14:textId="77777777" w:rsidTr="00CE5E6F">
        <w:trPr>
          <w:tblHeader/>
        </w:trPr>
        <w:tc>
          <w:tcPr>
            <w:tcW w:w="899" w:type="pct"/>
            <w:shd w:val="clear" w:color="auto" w:fill="F2F2F2"/>
          </w:tcPr>
          <w:p w14:paraId="5BA0584B" w14:textId="77777777" w:rsidR="004F3A80" w:rsidRPr="005068FD" w:rsidRDefault="004F3A80" w:rsidP="0004636C">
            <w:pPr>
              <w:pStyle w:val="TableHeading"/>
            </w:pPr>
            <w:bookmarkStart w:id="2" w:name="ColumnTitle_01"/>
            <w:bookmarkEnd w:id="2"/>
            <w:r w:rsidRPr="005068FD">
              <w:t>Date</w:t>
            </w:r>
          </w:p>
        </w:tc>
        <w:tc>
          <w:tcPr>
            <w:tcW w:w="592" w:type="pct"/>
            <w:shd w:val="clear" w:color="auto" w:fill="F2F2F2"/>
          </w:tcPr>
          <w:p w14:paraId="5BA0584C" w14:textId="77777777" w:rsidR="004F3A80" w:rsidRPr="005068FD" w:rsidRDefault="003E5E7F" w:rsidP="0004636C">
            <w:pPr>
              <w:pStyle w:val="TableHeading"/>
            </w:pPr>
            <w:r>
              <w:t>Revi</w:t>
            </w:r>
            <w:r w:rsidR="004F3A80" w:rsidRPr="005068FD">
              <w:t>sion</w:t>
            </w:r>
          </w:p>
        </w:tc>
        <w:tc>
          <w:tcPr>
            <w:tcW w:w="2297" w:type="pct"/>
            <w:shd w:val="clear" w:color="auto" w:fill="F2F2F2"/>
          </w:tcPr>
          <w:p w14:paraId="5BA0584D" w14:textId="77777777" w:rsidR="004F3A80" w:rsidRPr="005068FD" w:rsidRDefault="004F3A80" w:rsidP="0004636C">
            <w:pPr>
              <w:pStyle w:val="TableHeading"/>
            </w:pPr>
            <w:r w:rsidRPr="005068FD">
              <w:t>Description</w:t>
            </w:r>
          </w:p>
        </w:tc>
        <w:tc>
          <w:tcPr>
            <w:tcW w:w="1212" w:type="pct"/>
            <w:shd w:val="clear" w:color="auto" w:fill="F2F2F2"/>
          </w:tcPr>
          <w:p w14:paraId="5BA0584E" w14:textId="77777777" w:rsidR="004F3A80" w:rsidRPr="005068FD" w:rsidRDefault="004F3A80" w:rsidP="0004636C">
            <w:pPr>
              <w:pStyle w:val="TableHeading"/>
            </w:pPr>
            <w:r w:rsidRPr="005068FD">
              <w:t>Author</w:t>
            </w:r>
          </w:p>
        </w:tc>
      </w:tr>
      <w:tr w:rsidR="004F3A80" w14:paraId="5BA05854" w14:textId="77777777" w:rsidTr="00CE5E6F">
        <w:tc>
          <w:tcPr>
            <w:tcW w:w="899" w:type="pct"/>
          </w:tcPr>
          <w:p w14:paraId="5BA05850" w14:textId="77777777" w:rsidR="006915CA" w:rsidRPr="005068FD" w:rsidRDefault="006915CA" w:rsidP="0004636C">
            <w:pPr>
              <w:pStyle w:val="TableText"/>
            </w:pPr>
          </w:p>
        </w:tc>
        <w:tc>
          <w:tcPr>
            <w:tcW w:w="592" w:type="pct"/>
          </w:tcPr>
          <w:p w14:paraId="5BA05851" w14:textId="77777777" w:rsidR="004F3A80" w:rsidRDefault="004F3A80" w:rsidP="0004636C">
            <w:pPr>
              <w:pStyle w:val="TableText"/>
            </w:pPr>
          </w:p>
        </w:tc>
        <w:tc>
          <w:tcPr>
            <w:tcW w:w="2297" w:type="pct"/>
          </w:tcPr>
          <w:p w14:paraId="5BA05852" w14:textId="77777777" w:rsidR="004F3A80" w:rsidRDefault="004F3A80" w:rsidP="0004636C">
            <w:pPr>
              <w:pStyle w:val="TableText"/>
            </w:pPr>
          </w:p>
        </w:tc>
        <w:tc>
          <w:tcPr>
            <w:tcW w:w="1212" w:type="pct"/>
          </w:tcPr>
          <w:p w14:paraId="5BA05853" w14:textId="77777777" w:rsidR="004F3A80" w:rsidRDefault="004F3A80" w:rsidP="0004636C">
            <w:pPr>
              <w:pStyle w:val="TableText"/>
            </w:pPr>
          </w:p>
        </w:tc>
      </w:tr>
      <w:tr w:rsidR="004F3A80" w14:paraId="5BA05859" w14:textId="77777777" w:rsidTr="00CE5E6F">
        <w:tc>
          <w:tcPr>
            <w:tcW w:w="899" w:type="pct"/>
          </w:tcPr>
          <w:p w14:paraId="5BA05855" w14:textId="77777777" w:rsidR="004F3A80" w:rsidRDefault="004F3A80" w:rsidP="0004636C">
            <w:pPr>
              <w:pStyle w:val="TableText"/>
            </w:pPr>
          </w:p>
        </w:tc>
        <w:tc>
          <w:tcPr>
            <w:tcW w:w="592" w:type="pct"/>
          </w:tcPr>
          <w:p w14:paraId="5BA05856" w14:textId="77777777" w:rsidR="004F3A80" w:rsidRDefault="004F3A80" w:rsidP="0004636C">
            <w:pPr>
              <w:pStyle w:val="TableText"/>
            </w:pPr>
          </w:p>
        </w:tc>
        <w:tc>
          <w:tcPr>
            <w:tcW w:w="2297" w:type="pct"/>
          </w:tcPr>
          <w:p w14:paraId="5BA05857" w14:textId="77777777" w:rsidR="004F3A80" w:rsidRDefault="004F3A80" w:rsidP="0004636C">
            <w:pPr>
              <w:pStyle w:val="TableText"/>
            </w:pPr>
          </w:p>
        </w:tc>
        <w:tc>
          <w:tcPr>
            <w:tcW w:w="1212" w:type="pct"/>
          </w:tcPr>
          <w:p w14:paraId="5BA05858" w14:textId="77777777" w:rsidR="004F3A80" w:rsidRDefault="004F3A80" w:rsidP="0004636C">
            <w:pPr>
              <w:pStyle w:val="TableText"/>
            </w:pPr>
          </w:p>
        </w:tc>
      </w:tr>
    </w:tbl>
    <w:p w14:paraId="5BA0585A" w14:textId="77777777" w:rsidR="00CE5E6F" w:rsidRDefault="00CE5E6F" w:rsidP="00F5647A">
      <w:pPr>
        <w:pStyle w:val="InstructionalText1"/>
      </w:pPr>
      <w:r w:rsidRPr="00134195">
        <w:t>This section is required for all documents.</w:t>
      </w:r>
    </w:p>
    <w:p w14:paraId="5BA0585B" w14:textId="77777777" w:rsidR="00AE0630" w:rsidRDefault="006244C7" w:rsidP="00F5647A">
      <w:pPr>
        <w:pStyle w:val="InstructionalText1"/>
      </w:pPr>
      <w:r w:rsidRPr="00AE0630">
        <w:t xml:space="preserve">The Revision History pertains only to </w:t>
      </w:r>
      <w:r w:rsidR="00510914" w:rsidRPr="00AE0630">
        <w:t>changes in the content of the document or any updates made after distribution</w:t>
      </w:r>
      <w:r w:rsidR="00AE0630" w:rsidRPr="00AE0630">
        <w:t>.</w:t>
      </w:r>
      <w:r w:rsidRPr="00AE0630">
        <w:t xml:space="preserve"> It does not apply to</w:t>
      </w:r>
      <w:r w:rsidR="00510914" w:rsidRPr="00510914">
        <w:t xml:space="preserve"> </w:t>
      </w:r>
      <w:r w:rsidR="00510914" w:rsidRPr="00AE0630">
        <w:t xml:space="preserve">the formatting of the </w:t>
      </w:r>
      <w:r w:rsidR="00510914">
        <w:t>template</w:t>
      </w:r>
      <w:r w:rsidR="00AE0630">
        <w:t>.</w:t>
      </w:r>
    </w:p>
    <w:p w14:paraId="5BA0585C" w14:textId="77777777" w:rsidR="00817918" w:rsidRPr="004D0A93" w:rsidRDefault="00817918" w:rsidP="004D0A93">
      <w:pPr>
        <w:pStyle w:val="InstructionalBullet1"/>
      </w:pPr>
      <w:r w:rsidRPr="004D0A93">
        <w:t>Date should be included in the following standard format (e.g., &lt;MM/DD/YY&gt;).</w:t>
      </w:r>
    </w:p>
    <w:p w14:paraId="5BA0585D" w14:textId="77777777" w:rsidR="00817918" w:rsidRPr="004D0A93" w:rsidRDefault="00817918" w:rsidP="004D0A93">
      <w:pPr>
        <w:pStyle w:val="InstructionalBullet1"/>
      </w:pPr>
      <w:r w:rsidRPr="004D0A93">
        <w:t>Remove blank rows.</w:t>
      </w:r>
    </w:p>
    <w:p w14:paraId="5BA0585E" w14:textId="77777777" w:rsidR="00817918" w:rsidRPr="004D0A93" w:rsidRDefault="00AE51CB" w:rsidP="004D0A93">
      <w:pPr>
        <w:pStyle w:val="InstructionalBullet1"/>
      </w:pPr>
      <w:r w:rsidRPr="004D0A93">
        <w:t>Do not to include “sensitive data” in the Author column. Rather, you might include the project team and/or role of the contributors to the documentation. (Please read excerpt on PII, below.)</w:t>
      </w:r>
    </w:p>
    <w:p w14:paraId="5BA0585F" w14:textId="77777777" w:rsidR="00817918" w:rsidRPr="004D0A93" w:rsidRDefault="004D0A93" w:rsidP="004D0A93">
      <w:pPr>
        <w:pStyle w:val="InstructionalBullet1"/>
        <w:numPr>
          <w:ilvl w:val="0"/>
          <w:numId w:val="0"/>
        </w:numPr>
        <w:ind w:left="720"/>
      </w:pPr>
      <w:r>
        <w:t>IMPORTANT NOTE</w:t>
      </w:r>
      <w:r w:rsidR="00817918" w:rsidRPr="004D0A93">
        <w:t xml:space="preserve">: The term Personally Identifiable Information (PII) as defined in OMB Memorandum M-07-1616 refers to information that can be used to distinguish or trace an individual's identity, either alone or when combined with other personal or identifying information that is linked or linkable to a specific individual. The definition of PII is not anchored to any single category of information or technology. Rather, it requires a case-by-case assessment of the specific risk that an individual can be identified. In performing this assessment, it is important for an agency to recognize that non-PII can become PII whenever additional information is made publicly available — in any medium and from any source — that, when combined with other available information, could be used to identify an individual. </w:t>
      </w:r>
    </w:p>
    <w:p w14:paraId="5BA05860" w14:textId="77777777" w:rsidR="000A0911" w:rsidRPr="0081116F" w:rsidRDefault="00040EA7" w:rsidP="0081116F">
      <w:pPr>
        <w:pStyle w:val="InstructionalText1"/>
        <w:spacing w:before="240"/>
        <w:jc w:val="center"/>
        <w:rPr>
          <w:b/>
          <w:bCs/>
          <w:i w:val="0"/>
          <w:iCs w:val="0"/>
          <w:color w:val="auto"/>
          <w:sz w:val="28"/>
          <w:szCs w:val="28"/>
        </w:rPr>
      </w:pPr>
      <w:r w:rsidRPr="0081116F">
        <w:rPr>
          <w:b/>
          <w:bCs/>
          <w:i w:val="0"/>
          <w:iCs w:val="0"/>
          <w:color w:val="auto"/>
          <w:sz w:val="28"/>
          <w:szCs w:val="28"/>
        </w:rPr>
        <w:t>Artifact Rationale</w:t>
      </w:r>
    </w:p>
    <w:p w14:paraId="5BA05861" w14:textId="30E745AC" w:rsidR="000A0911" w:rsidRPr="0081116F" w:rsidRDefault="0081116F" w:rsidP="00F5647A">
      <w:pPr>
        <w:pStyle w:val="InstructionalText1"/>
        <w:rPr>
          <w:i w:val="0"/>
          <w:iCs w:val="0"/>
          <w:color w:val="auto"/>
          <w:sz w:val="24"/>
          <w:szCs w:val="24"/>
        </w:rPr>
      </w:pPr>
      <w:r w:rsidRPr="0081116F">
        <w:rPr>
          <w:i w:val="0"/>
          <w:iCs w:val="0"/>
          <w:color w:val="auto"/>
          <w:sz w:val="24"/>
          <w:szCs w:val="24"/>
        </w:rPr>
        <w:t xml:space="preserve">Per the Veteran-focused Integrated Process </w:t>
      </w:r>
      <w:r>
        <w:rPr>
          <w:i w:val="0"/>
          <w:iCs w:val="0"/>
          <w:color w:val="auto"/>
          <w:sz w:val="24"/>
          <w:szCs w:val="24"/>
        </w:rPr>
        <w:t>(VIP) Guide, the User’s Guide</w:t>
      </w:r>
      <w:r w:rsidRPr="0081116F">
        <w:rPr>
          <w:i w:val="0"/>
          <w:iCs w:val="0"/>
          <w:color w:val="auto"/>
          <w:sz w:val="24"/>
          <w:szCs w:val="24"/>
        </w:rPr>
        <w:t xml:space="preserve"> is required to be completed  prior to Critical Decision Point #2 (CD2), with the expectation that it will be updated </w:t>
      </w:r>
      <w:r>
        <w:rPr>
          <w:i w:val="0"/>
          <w:iCs w:val="0"/>
          <w:color w:val="auto"/>
          <w:sz w:val="24"/>
          <w:szCs w:val="24"/>
        </w:rPr>
        <w:t>as needed</w:t>
      </w:r>
      <w:r w:rsidRPr="0081116F">
        <w:rPr>
          <w:i w:val="0"/>
          <w:iCs w:val="0"/>
          <w:color w:val="auto"/>
          <w:sz w:val="24"/>
          <w:szCs w:val="24"/>
        </w:rPr>
        <w:t xml:space="preserve">. </w:t>
      </w:r>
      <w:r w:rsidR="000A0911" w:rsidRPr="0081116F">
        <w:rPr>
          <w:i w:val="0"/>
          <w:iCs w:val="0"/>
          <w:color w:val="auto"/>
          <w:sz w:val="24"/>
          <w:szCs w:val="24"/>
        </w:rPr>
        <w:t>A User Guide is a technical communication document intended to give assistance to people using a particular system</w:t>
      </w:r>
      <w:r>
        <w:rPr>
          <w:i w:val="0"/>
          <w:iCs w:val="0"/>
          <w:color w:val="auto"/>
          <w:sz w:val="24"/>
          <w:szCs w:val="24"/>
        </w:rPr>
        <w:t>, such as VistA end users</w:t>
      </w:r>
      <w:r w:rsidR="000A0911" w:rsidRPr="0081116F">
        <w:rPr>
          <w:i w:val="0"/>
          <w:iCs w:val="0"/>
          <w:color w:val="auto"/>
          <w:sz w:val="24"/>
          <w:szCs w:val="24"/>
        </w:rPr>
        <w:t>. It is usually written by a technical writer, although it can also be written by programmers, product or project managers, or other technical staff</w:t>
      </w:r>
      <w:r w:rsidR="00BA0022" w:rsidRPr="0081116F">
        <w:rPr>
          <w:i w:val="0"/>
          <w:iCs w:val="0"/>
          <w:color w:val="auto"/>
          <w:sz w:val="24"/>
          <w:szCs w:val="24"/>
        </w:rPr>
        <w:t xml:space="preserve">. </w:t>
      </w:r>
      <w:r w:rsidR="000A0911" w:rsidRPr="0081116F">
        <w:rPr>
          <w:i w:val="0"/>
          <w:iCs w:val="0"/>
          <w:color w:val="auto"/>
          <w:sz w:val="24"/>
          <w:szCs w:val="24"/>
        </w:rPr>
        <w:t xml:space="preserve">Most user guides contain both a written guide and the associated images. In the case of computer applications, it is usual to include screenshots of the human-machine </w:t>
      </w:r>
      <w:r w:rsidR="00AE51CB" w:rsidRPr="0081116F">
        <w:rPr>
          <w:i w:val="0"/>
          <w:iCs w:val="0"/>
          <w:color w:val="auto"/>
          <w:sz w:val="24"/>
          <w:szCs w:val="24"/>
        </w:rPr>
        <w:t xml:space="preserve">interfaces, </w:t>
      </w:r>
      <w:r w:rsidR="000A0911" w:rsidRPr="0081116F">
        <w:rPr>
          <w:i w:val="0"/>
          <w:iCs w:val="0"/>
          <w:color w:val="auto"/>
          <w:sz w:val="24"/>
          <w:szCs w:val="24"/>
        </w:rPr>
        <w:t>and hardware manuals often include clear, simplified diagrams. The language used is matched to the intended audience, with jargon kept to a minimum or explained thoroughly</w:t>
      </w:r>
      <w:r w:rsidR="00BA0022" w:rsidRPr="0081116F">
        <w:rPr>
          <w:i w:val="0"/>
          <w:iCs w:val="0"/>
          <w:color w:val="auto"/>
          <w:sz w:val="24"/>
          <w:szCs w:val="24"/>
        </w:rPr>
        <w:t xml:space="preserve">. </w:t>
      </w:r>
      <w:r w:rsidR="000A0911" w:rsidRPr="0081116F">
        <w:rPr>
          <w:i w:val="0"/>
          <w:iCs w:val="0"/>
          <w:color w:val="auto"/>
          <w:sz w:val="24"/>
          <w:szCs w:val="24"/>
        </w:rPr>
        <w:t>The User</w:t>
      </w:r>
      <w:r w:rsidR="00A82C7A" w:rsidRPr="0081116F">
        <w:rPr>
          <w:i w:val="0"/>
          <w:iCs w:val="0"/>
          <w:color w:val="auto"/>
          <w:sz w:val="24"/>
          <w:szCs w:val="24"/>
        </w:rPr>
        <w:t xml:space="preserve"> Guide is a mandatory, build</w:t>
      </w:r>
      <w:r w:rsidR="000A0911" w:rsidRPr="0081116F">
        <w:rPr>
          <w:i w:val="0"/>
          <w:iCs w:val="0"/>
          <w:color w:val="auto"/>
          <w:sz w:val="24"/>
          <w:szCs w:val="24"/>
        </w:rPr>
        <w:t>-level document, and should be updated to reflect the contents of th</w:t>
      </w:r>
      <w:r w:rsidR="00A82C7A" w:rsidRPr="0081116F">
        <w:rPr>
          <w:i w:val="0"/>
          <w:iCs w:val="0"/>
          <w:color w:val="auto"/>
          <w:sz w:val="24"/>
          <w:szCs w:val="24"/>
        </w:rPr>
        <w:t>e most recently deployed build</w:t>
      </w:r>
      <w:r w:rsidR="000A0911" w:rsidRPr="0081116F">
        <w:rPr>
          <w:i w:val="0"/>
          <w:iCs w:val="0"/>
          <w:color w:val="auto"/>
          <w:sz w:val="24"/>
          <w:szCs w:val="24"/>
        </w:rPr>
        <w:t>.</w:t>
      </w:r>
      <w:r w:rsidR="009910F2" w:rsidRPr="0081116F">
        <w:rPr>
          <w:i w:val="0"/>
          <w:iCs w:val="0"/>
          <w:color w:val="auto"/>
          <w:sz w:val="24"/>
          <w:szCs w:val="24"/>
        </w:rPr>
        <w:t xml:space="preserve"> The sections documented herein are required if applicable to your </w:t>
      </w:r>
      <w:r w:rsidR="00D84003" w:rsidRPr="0081116F">
        <w:rPr>
          <w:i w:val="0"/>
          <w:iCs w:val="0"/>
          <w:color w:val="auto"/>
          <w:sz w:val="24"/>
          <w:szCs w:val="24"/>
        </w:rPr>
        <w:t>product</w:t>
      </w:r>
      <w:r w:rsidR="009910F2" w:rsidRPr="0081116F">
        <w:rPr>
          <w:i w:val="0"/>
          <w:iCs w:val="0"/>
          <w:color w:val="auto"/>
          <w:sz w:val="24"/>
          <w:szCs w:val="24"/>
        </w:rPr>
        <w:t>.</w:t>
      </w:r>
    </w:p>
    <w:p w14:paraId="5BA05876" w14:textId="77777777" w:rsidR="004F3A80" w:rsidRPr="00CD14DE" w:rsidRDefault="00F7216E" w:rsidP="0081116F">
      <w:pPr>
        <w:pStyle w:val="BodyText"/>
        <w:rPr>
          <w:rFonts w:ascii="Arial" w:hAnsi="Arial" w:cs="Arial"/>
          <w:b/>
          <w:sz w:val="28"/>
          <w:szCs w:val="28"/>
        </w:rPr>
      </w:pPr>
      <w:r w:rsidRPr="004F31E5">
        <w:br w:type="page"/>
      </w:r>
      <w:r w:rsidR="004F3A80" w:rsidRPr="00CD14DE">
        <w:rPr>
          <w:rFonts w:ascii="Arial" w:hAnsi="Arial" w:cs="Arial"/>
          <w:b/>
          <w:sz w:val="28"/>
          <w:szCs w:val="28"/>
        </w:rPr>
        <w:lastRenderedPageBreak/>
        <w:t>Table of Contents</w:t>
      </w:r>
    </w:p>
    <w:p w14:paraId="5F26B88B" w14:textId="77777777" w:rsidR="002855B2" w:rsidRDefault="00AF1D4B">
      <w:pPr>
        <w:pStyle w:val="TOC1"/>
        <w:rPr>
          <w:rFonts w:asciiTheme="minorHAnsi" w:eastAsiaTheme="minorEastAsia" w:hAnsiTheme="minorHAnsi" w:cstheme="minorBidi"/>
          <w:b w:val="0"/>
        </w:rPr>
      </w:pPr>
      <w:r>
        <w:rPr>
          <w:bCs/>
          <w:szCs w:val="20"/>
        </w:rPr>
        <w:fldChar w:fldCharType="begin"/>
      </w:r>
      <w:r>
        <w:rPr>
          <w:bCs/>
          <w:szCs w:val="20"/>
        </w:rPr>
        <w:instrText xml:space="preserve"> TOC \o "1-4" \h \z \u </w:instrText>
      </w:r>
      <w:r>
        <w:rPr>
          <w:bCs/>
          <w:szCs w:val="20"/>
        </w:rPr>
        <w:fldChar w:fldCharType="separate"/>
      </w:r>
      <w:hyperlink w:anchor="_Toc506368248" w:history="1">
        <w:r w:rsidR="002855B2" w:rsidRPr="00E9711B">
          <w:rPr>
            <w:rStyle w:val="Hyperlink"/>
          </w:rPr>
          <w:t>1.</w:t>
        </w:r>
        <w:r w:rsidR="002855B2">
          <w:rPr>
            <w:rFonts w:asciiTheme="minorHAnsi" w:eastAsiaTheme="minorEastAsia" w:hAnsiTheme="minorHAnsi" w:cstheme="minorBidi"/>
            <w:b w:val="0"/>
          </w:rPr>
          <w:tab/>
        </w:r>
        <w:r w:rsidR="002855B2" w:rsidRPr="00E9711B">
          <w:rPr>
            <w:rStyle w:val="Hyperlink"/>
          </w:rPr>
          <w:t>Introduction</w:t>
        </w:r>
        <w:r w:rsidR="002855B2">
          <w:rPr>
            <w:webHidden/>
          </w:rPr>
          <w:tab/>
        </w:r>
        <w:r w:rsidR="002855B2">
          <w:rPr>
            <w:webHidden/>
          </w:rPr>
          <w:fldChar w:fldCharType="begin"/>
        </w:r>
        <w:r w:rsidR="002855B2">
          <w:rPr>
            <w:webHidden/>
          </w:rPr>
          <w:instrText xml:space="preserve"> PAGEREF _Toc506368248 \h </w:instrText>
        </w:r>
        <w:r w:rsidR="002855B2">
          <w:rPr>
            <w:webHidden/>
          </w:rPr>
        </w:r>
        <w:r w:rsidR="002855B2">
          <w:rPr>
            <w:webHidden/>
          </w:rPr>
          <w:fldChar w:fldCharType="separate"/>
        </w:r>
        <w:r w:rsidR="002855B2">
          <w:rPr>
            <w:webHidden/>
          </w:rPr>
          <w:t>1</w:t>
        </w:r>
        <w:r w:rsidR="002855B2">
          <w:rPr>
            <w:webHidden/>
          </w:rPr>
          <w:fldChar w:fldCharType="end"/>
        </w:r>
      </w:hyperlink>
    </w:p>
    <w:p w14:paraId="6B82970B" w14:textId="77777777" w:rsidR="002855B2" w:rsidRDefault="0032253D">
      <w:pPr>
        <w:pStyle w:val="TOC2"/>
        <w:rPr>
          <w:rFonts w:asciiTheme="minorHAnsi" w:eastAsiaTheme="minorEastAsia" w:hAnsiTheme="minorHAnsi" w:cstheme="minorBidi"/>
        </w:rPr>
      </w:pPr>
      <w:hyperlink w:anchor="_Toc506368249" w:history="1">
        <w:r w:rsidR="002855B2" w:rsidRPr="00E9711B">
          <w:rPr>
            <w:rStyle w:val="Hyperlink"/>
          </w:rPr>
          <w:t>1.1.</w:t>
        </w:r>
        <w:r w:rsidR="002855B2">
          <w:rPr>
            <w:rFonts w:asciiTheme="minorHAnsi" w:eastAsiaTheme="minorEastAsia" w:hAnsiTheme="minorHAnsi" w:cstheme="minorBidi"/>
          </w:rPr>
          <w:tab/>
        </w:r>
        <w:r w:rsidR="002855B2" w:rsidRPr="00E9711B">
          <w:rPr>
            <w:rStyle w:val="Hyperlink"/>
          </w:rPr>
          <w:t>Purpose</w:t>
        </w:r>
        <w:r w:rsidR="002855B2">
          <w:rPr>
            <w:webHidden/>
          </w:rPr>
          <w:tab/>
        </w:r>
        <w:r w:rsidR="002855B2">
          <w:rPr>
            <w:webHidden/>
          </w:rPr>
          <w:fldChar w:fldCharType="begin"/>
        </w:r>
        <w:r w:rsidR="002855B2">
          <w:rPr>
            <w:webHidden/>
          </w:rPr>
          <w:instrText xml:space="preserve"> PAGEREF _Toc506368249 \h </w:instrText>
        </w:r>
        <w:r w:rsidR="002855B2">
          <w:rPr>
            <w:webHidden/>
          </w:rPr>
        </w:r>
        <w:r w:rsidR="002855B2">
          <w:rPr>
            <w:webHidden/>
          </w:rPr>
          <w:fldChar w:fldCharType="separate"/>
        </w:r>
        <w:r w:rsidR="002855B2">
          <w:rPr>
            <w:webHidden/>
          </w:rPr>
          <w:t>1</w:t>
        </w:r>
        <w:r w:rsidR="002855B2">
          <w:rPr>
            <w:webHidden/>
          </w:rPr>
          <w:fldChar w:fldCharType="end"/>
        </w:r>
      </w:hyperlink>
    </w:p>
    <w:p w14:paraId="0BE96614" w14:textId="77777777" w:rsidR="002855B2" w:rsidRDefault="0032253D">
      <w:pPr>
        <w:pStyle w:val="TOC2"/>
        <w:rPr>
          <w:rFonts w:asciiTheme="minorHAnsi" w:eastAsiaTheme="minorEastAsia" w:hAnsiTheme="minorHAnsi" w:cstheme="minorBidi"/>
        </w:rPr>
      </w:pPr>
      <w:hyperlink w:anchor="_Toc506368250" w:history="1">
        <w:r w:rsidR="002855B2" w:rsidRPr="00E9711B">
          <w:rPr>
            <w:rStyle w:val="Hyperlink"/>
          </w:rPr>
          <w:t>1.2.</w:t>
        </w:r>
        <w:r w:rsidR="002855B2">
          <w:rPr>
            <w:rFonts w:asciiTheme="minorHAnsi" w:eastAsiaTheme="minorEastAsia" w:hAnsiTheme="minorHAnsi" w:cstheme="minorBidi"/>
          </w:rPr>
          <w:tab/>
        </w:r>
        <w:r w:rsidR="002855B2" w:rsidRPr="00E9711B">
          <w:rPr>
            <w:rStyle w:val="Hyperlink"/>
          </w:rPr>
          <w:t>Document Orientation</w:t>
        </w:r>
        <w:r w:rsidR="002855B2">
          <w:rPr>
            <w:webHidden/>
          </w:rPr>
          <w:tab/>
        </w:r>
        <w:r w:rsidR="002855B2">
          <w:rPr>
            <w:webHidden/>
          </w:rPr>
          <w:fldChar w:fldCharType="begin"/>
        </w:r>
        <w:r w:rsidR="002855B2">
          <w:rPr>
            <w:webHidden/>
          </w:rPr>
          <w:instrText xml:space="preserve"> PAGEREF _Toc506368250 \h </w:instrText>
        </w:r>
        <w:r w:rsidR="002855B2">
          <w:rPr>
            <w:webHidden/>
          </w:rPr>
        </w:r>
        <w:r w:rsidR="002855B2">
          <w:rPr>
            <w:webHidden/>
          </w:rPr>
          <w:fldChar w:fldCharType="separate"/>
        </w:r>
        <w:r w:rsidR="002855B2">
          <w:rPr>
            <w:webHidden/>
          </w:rPr>
          <w:t>2</w:t>
        </w:r>
        <w:r w:rsidR="002855B2">
          <w:rPr>
            <w:webHidden/>
          </w:rPr>
          <w:fldChar w:fldCharType="end"/>
        </w:r>
      </w:hyperlink>
    </w:p>
    <w:p w14:paraId="13FDC218" w14:textId="77777777" w:rsidR="002855B2" w:rsidRDefault="0032253D">
      <w:pPr>
        <w:pStyle w:val="TOC3"/>
        <w:rPr>
          <w:rFonts w:asciiTheme="minorHAnsi" w:eastAsiaTheme="minorEastAsia" w:hAnsiTheme="minorHAnsi" w:cstheme="minorBidi"/>
        </w:rPr>
      </w:pPr>
      <w:hyperlink w:anchor="_Toc506368251" w:history="1">
        <w:r w:rsidR="002855B2" w:rsidRPr="00E9711B">
          <w:rPr>
            <w:rStyle w:val="Hyperlink"/>
          </w:rPr>
          <w:t>1.2.1.</w:t>
        </w:r>
        <w:r w:rsidR="002855B2">
          <w:rPr>
            <w:rFonts w:asciiTheme="minorHAnsi" w:eastAsiaTheme="minorEastAsia" w:hAnsiTheme="minorHAnsi" w:cstheme="minorBidi"/>
          </w:rPr>
          <w:tab/>
        </w:r>
        <w:r w:rsidR="002855B2" w:rsidRPr="00E9711B">
          <w:rPr>
            <w:rStyle w:val="Hyperlink"/>
          </w:rPr>
          <w:t>Organization of the Manual</w:t>
        </w:r>
        <w:r w:rsidR="002855B2">
          <w:rPr>
            <w:webHidden/>
          </w:rPr>
          <w:tab/>
        </w:r>
        <w:r w:rsidR="002855B2">
          <w:rPr>
            <w:webHidden/>
          </w:rPr>
          <w:fldChar w:fldCharType="begin"/>
        </w:r>
        <w:r w:rsidR="002855B2">
          <w:rPr>
            <w:webHidden/>
          </w:rPr>
          <w:instrText xml:space="preserve"> PAGEREF _Toc506368251 \h </w:instrText>
        </w:r>
        <w:r w:rsidR="002855B2">
          <w:rPr>
            <w:webHidden/>
          </w:rPr>
        </w:r>
        <w:r w:rsidR="002855B2">
          <w:rPr>
            <w:webHidden/>
          </w:rPr>
          <w:fldChar w:fldCharType="separate"/>
        </w:r>
        <w:r w:rsidR="002855B2">
          <w:rPr>
            <w:webHidden/>
          </w:rPr>
          <w:t>2</w:t>
        </w:r>
        <w:r w:rsidR="002855B2">
          <w:rPr>
            <w:webHidden/>
          </w:rPr>
          <w:fldChar w:fldCharType="end"/>
        </w:r>
      </w:hyperlink>
    </w:p>
    <w:p w14:paraId="090BC85F" w14:textId="77777777" w:rsidR="002855B2" w:rsidRDefault="0032253D">
      <w:pPr>
        <w:pStyle w:val="TOC3"/>
        <w:rPr>
          <w:rFonts w:asciiTheme="minorHAnsi" w:eastAsiaTheme="minorEastAsia" w:hAnsiTheme="minorHAnsi" w:cstheme="minorBidi"/>
        </w:rPr>
      </w:pPr>
      <w:hyperlink w:anchor="_Toc506368252" w:history="1">
        <w:r w:rsidR="002855B2" w:rsidRPr="00E9711B">
          <w:rPr>
            <w:rStyle w:val="Hyperlink"/>
          </w:rPr>
          <w:t>1.2.2.</w:t>
        </w:r>
        <w:r w:rsidR="002855B2">
          <w:rPr>
            <w:rFonts w:asciiTheme="minorHAnsi" w:eastAsiaTheme="minorEastAsia" w:hAnsiTheme="minorHAnsi" w:cstheme="minorBidi"/>
          </w:rPr>
          <w:tab/>
        </w:r>
        <w:r w:rsidR="002855B2" w:rsidRPr="00E9711B">
          <w:rPr>
            <w:rStyle w:val="Hyperlink"/>
          </w:rPr>
          <w:t>Assumptions</w:t>
        </w:r>
        <w:r w:rsidR="002855B2">
          <w:rPr>
            <w:webHidden/>
          </w:rPr>
          <w:tab/>
        </w:r>
        <w:r w:rsidR="002855B2">
          <w:rPr>
            <w:webHidden/>
          </w:rPr>
          <w:fldChar w:fldCharType="begin"/>
        </w:r>
        <w:r w:rsidR="002855B2">
          <w:rPr>
            <w:webHidden/>
          </w:rPr>
          <w:instrText xml:space="preserve"> PAGEREF _Toc506368252 \h </w:instrText>
        </w:r>
        <w:r w:rsidR="002855B2">
          <w:rPr>
            <w:webHidden/>
          </w:rPr>
        </w:r>
        <w:r w:rsidR="002855B2">
          <w:rPr>
            <w:webHidden/>
          </w:rPr>
          <w:fldChar w:fldCharType="separate"/>
        </w:r>
        <w:r w:rsidR="002855B2">
          <w:rPr>
            <w:webHidden/>
          </w:rPr>
          <w:t>2</w:t>
        </w:r>
        <w:r w:rsidR="002855B2">
          <w:rPr>
            <w:webHidden/>
          </w:rPr>
          <w:fldChar w:fldCharType="end"/>
        </w:r>
      </w:hyperlink>
    </w:p>
    <w:p w14:paraId="24129A16" w14:textId="77777777" w:rsidR="002855B2" w:rsidRDefault="0032253D">
      <w:pPr>
        <w:pStyle w:val="TOC3"/>
        <w:rPr>
          <w:rFonts w:asciiTheme="minorHAnsi" w:eastAsiaTheme="minorEastAsia" w:hAnsiTheme="minorHAnsi" w:cstheme="minorBidi"/>
        </w:rPr>
      </w:pPr>
      <w:hyperlink w:anchor="_Toc506368253" w:history="1">
        <w:r w:rsidR="002855B2" w:rsidRPr="00E9711B">
          <w:rPr>
            <w:rStyle w:val="Hyperlink"/>
          </w:rPr>
          <w:t>1.2.3.</w:t>
        </w:r>
        <w:r w:rsidR="002855B2">
          <w:rPr>
            <w:rFonts w:asciiTheme="minorHAnsi" w:eastAsiaTheme="minorEastAsia" w:hAnsiTheme="minorHAnsi" w:cstheme="minorBidi"/>
          </w:rPr>
          <w:tab/>
        </w:r>
        <w:r w:rsidR="002855B2" w:rsidRPr="00E9711B">
          <w:rPr>
            <w:rStyle w:val="Hyperlink"/>
          </w:rPr>
          <w:t>Coordination</w:t>
        </w:r>
        <w:r w:rsidR="002855B2">
          <w:rPr>
            <w:webHidden/>
          </w:rPr>
          <w:tab/>
        </w:r>
        <w:r w:rsidR="002855B2">
          <w:rPr>
            <w:webHidden/>
          </w:rPr>
          <w:fldChar w:fldCharType="begin"/>
        </w:r>
        <w:r w:rsidR="002855B2">
          <w:rPr>
            <w:webHidden/>
          </w:rPr>
          <w:instrText xml:space="preserve"> PAGEREF _Toc506368253 \h </w:instrText>
        </w:r>
        <w:r w:rsidR="002855B2">
          <w:rPr>
            <w:webHidden/>
          </w:rPr>
        </w:r>
        <w:r w:rsidR="002855B2">
          <w:rPr>
            <w:webHidden/>
          </w:rPr>
          <w:fldChar w:fldCharType="separate"/>
        </w:r>
        <w:r w:rsidR="002855B2">
          <w:rPr>
            <w:webHidden/>
          </w:rPr>
          <w:t>2</w:t>
        </w:r>
        <w:r w:rsidR="002855B2">
          <w:rPr>
            <w:webHidden/>
          </w:rPr>
          <w:fldChar w:fldCharType="end"/>
        </w:r>
      </w:hyperlink>
    </w:p>
    <w:p w14:paraId="78AE12F5" w14:textId="77777777" w:rsidR="002855B2" w:rsidRDefault="0032253D">
      <w:pPr>
        <w:pStyle w:val="TOC3"/>
        <w:rPr>
          <w:rFonts w:asciiTheme="minorHAnsi" w:eastAsiaTheme="minorEastAsia" w:hAnsiTheme="minorHAnsi" w:cstheme="minorBidi"/>
        </w:rPr>
      </w:pPr>
      <w:hyperlink w:anchor="_Toc506368254" w:history="1">
        <w:r w:rsidR="002855B2" w:rsidRPr="00E9711B">
          <w:rPr>
            <w:rStyle w:val="Hyperlink"/>
          </w:rPr>
          <w:t>1.2.4.</w:t>
        </w:r>
        <w:r w:rsidR="002855B2">
          <w:rPr>
            <w:rFonts w:asciiTheme="minorHAnsi" w:eastAsiaTheme="minorEastAsia" w:hAnsiTheme="minorHAnsi" w:cstheme="minorBidi"/>
          </w:rPr>
          <w:tab/>
        </w:r>
        <w:r w:rsidR="002855B2" w:rsidRPr="00E9711B">
          <w:rPr>
            <w:rStyle w:val="Hyperlink"/>
          </w:rPr>
          <w:t>Disclaimers</w:t>
        </w:r>
        <w:r w:rsidR="002855B2">
          <w:rPr>
            <w:webHidden/>
          </w:rPr>
          <w:tab/>
        </w:r>
        <w:r w:rsidR="002855B2">
          <w:rPr>
            <w:webHidden/>
          </w:rPr>
          <w:fldChar w:fldCharType="begin"/>
        </w:r>
        <w:r w:rsidR="002855B2">
          <w:rPr>
            <w:webHidden/>
          </w:rPr>
          <w:instrText xml:space="preserve"> PAGEREF _Toc506368254 \h </w:instrText>
        </w:r>
        <w:r w:rsidR="002855B2">
          <w:rPr>
            <w:webHidden/>
          </w:rPr>
        </w:r>
        <w:r w:rsidR="002855B2">
          <w:rPr>
            <w:webHidden/>
          </w:rPr>
          <w:fldChar w:fldCharType="separate"/>
        </w:r>
        <w:r w:rsidR="002855B2">
          <w:rPr>
            <w:webHidden/>
          </w:rPr>
          <w:t>3</w:t>
        </w:r>
        <w:r w:rsidR="002855B2">
          <w:rPr>
            <w:webHidden/>
          </w:rPr>
          <w:fldChar w:fldCharType="end"/>
        </w:r>
      </w:hyperlink>
    </w:p>
    <w:p w14:paraId="491A4075" w14:textId="77777777" w:rsidR="002855B2" w:rsidRDefault="0032253D">
      <w:pPr>
        <w:pStyle w:val="TOC4"/>
        <w:rPr>
          <w:rFonts w:asciiTheme="minorHAnsi" w:eastAsiaTheme="minorEastAsia" w:hAnsiTheme="minorHAnsi" w:cstheme="minorBidi"/>
          <w:szCs w:val="22"/>
        </w:rPr>
      </w:pPr>
      <w:hyperlink w:anchor="_Toc506368255" w:history="1">
        <w:r w:rsidR="002855B2" w:rsidRPr="00E9711B">
          <w:rPr>
            <w:rStyle w:val="Hyperlink"/>
          </w:rPr>
          <w:t>1.2.4.1.</w:t>
        </w:r>
        <w:r w:rsidR="002855B2">
          <w:rPr>
            <w:rFonts w:asciiTheme="minorHAnsi" w:eastAsiaTheme="minorEastAsia" w:hAnsiTheme="minorHAnsi" w:cstheme="minorBidi"/>
            <w:szCs w:val="22"/>
          </w:rPr>
          <w:tab/>
        </w:r>
        <w:r w:rsidR="002855B2" w:rsidRPr="00E9711B">
          <w:rPr>
            <w:rStyle w:val="Hyperlink"/>
          </w:rPr>
          <w:t>Software Disclaimer</w:t>
        </w:r>
        <w:r w:rsidR="002855B2">
          <w:rPr>
            <w:webHidden/>
          </w:rPr>
          <w:tab/>
        </w:r>
        <w:r w:rsidR="002855B2">
          <w:rPr>
            <w:webHidden/>
          </w:rPr>
          <w:fldChar w:fldCharType="begin"/>
        </w:r>
        <w:r w:rsidR="002855B2">
          <w:rPr>
            <w:webHidden/>
          </w:rPr>
          <w:instrText xml:space="preserve"> PAGEREF _Toc506368255 \h </w:instrText>
        </w:r>
        <w:r w:rsidR="002855B2">
          <w:rPr>
            <w:webHidden/>
          </w:rPr>
        </w:r>
        <w:r w:rsidR="002855B2">
          <w:rPr>
            <w:webHidden/>
          </w:rPr>
          <w:fldChar w:fldCharType="separate"/>
        </w:r>
        <w:r w:rsidR="002855B2">
          <w:rPr>
            <w:webHidden/>
          </w:rPr>
          <w:t>3</w:t>
        </w:r>
        <w:r w:rsidR="002855B2">
          <w:rPr>
            <w:webHidden/>
          </w:rPr>
          <w:fldChar w:fldCharType="end"/>
        </w:r>
      </w:hyperlink>
    </w:p>
    <w:p w14:paraId="0F27A14C" w14:textId="77777777" w:rsidR="002855B2" w:rsidRDefault="0032253D">
      <w:pPr>
        <w:pStyle w:val="TOC4"/>
        <w:rPr>
          <w:rFonts w:asciiTheme="minorHAnsi" w:eastAsiaTheme="minorEastAsia" w:hAnsiTheme="minorHAnsi" w:cstheme="minorBidi"/>
          <w:szCs w:val="22"/>
        </w:rPr>
      </w:pPr>
      <w:hyperlink w:anchor="_Toc506368256" w:history="1">
        <w:r w:rsidR="002855B2" w:rsidRPr="00E9711B">
          <w:rPr>
            <w:rStyle w:val="Hyperlink"/>
          </w:rPr>
          <w:t>1.2.4.2.</w:t>
        </w:r>
        <w:r w:rsidR="002855B2">
          <w:rPr>
            <w:rFonts w:asciiTheme="minorHAnsi" w:eastAsiaTheme="minorEastAsia" w:hAnsiTheme="minorHAnsi" w:cstheme="minorBidi"/>
            <w:szCs w:val="22"/>
          </w:rPr>
          <w:tab/>
        </w:r>
        <w:r w:rsidR="002855B2" w:rsidRPr="00E9711B">
          <w:rPr>
            <w:rStyle w:val="Hyperlink"/>
          </w:rPr>
          <w:t>Documentation Disclaimer</w:t>
        </w:r>
        <w:r w:rsidR="002855B2">
          <w:rPr>
            <w:webHidden/>
          </w:rPr>
          <w:tab/>
        </w:r>
        <w:r w:rsidR="002855B2">
          <w:rPr>
            <w:webHidden/>
          </w:rPr>
          <w:fldChar w:fldCharType="begin"/>
        </w:r>
        <w:r w:rsidR="002855B2">
          <w:rPr>
            <w:webHidden/>
          </w:rPr>
          <w:instrText xml:space="preserve"> PAGEREF _Toc506368256 \h </w:instrText>
        </w:r>
        <w:r w:rsidR="002855B2">
          <w:rPr>
            <w:webHidden/>
          </w:rPr>
        </w:r>
        <w:r w:rsidR="002855B2">
          <w:rPr>
            <w:webHidden/>
          </w:rPr>
          <w:fldChar w:fldCharType="separate"/>
        </w:r>
        <w:r w:rsidR="002855B2">
          <w:rPr>
            <w:webHidden/>
          </w:rPr>
          <w:t>3</w:t>
        </w:r>
        <w:r w:rsidR="002855B2">
          <w:rPr>
            <w:webHidden/>
          </w:rPr>
          <w:fldChar w:fldCharType="end"/>
        </w:r>
      </w:hyperlink>
    </w:p>
    <w:p w14:paraId="7E639D73" w14:textId="77777777" w:rsidR="002855B2" w:rsidRDefault="0032253D">
      <w:pPr>
        <w:pStyle w:val="TOC3"/>
        <w:rPr>
          <w:rFonts w:asciiTheme="minorHAnsi" w:eastAsiaTheme="minorEastAsia" w:hAnsiTheme="minorHAnsi" w:cstheme="minorBidi"/>
        </w:rPr>
      </w:pPr>
      <w:hyperlink w:anchor="_Toc506368257" w:history="1">
        <w:r w:rsidR="002855B2" w:rsidRPr="00E9711B">
          <w:rPr>
            <w:rStyle w:val="Hyperlink"/>
          </w:rPr>
          <w:t>1.2.5.</w:t>
        </w:r>
        <w:r w:rsidR="002855B2">
          <w:rPr>
            <w:rFonts w:asciiTheme="minorHAnsi" w:eastAsiaTheme="minorEastAsia" w:hAnsiTheme="minorHAnsi" w:cstheme="minorBidi"/>
          </w:rPr>
          <w:tab/>
        </w:r>
        <w:r w:rsidR="002855B2" w:rsidRPr="00E9711B">
          <w:rPr>
            <w:rStyle w:val="Hyperlink"/>
          </w:rPr>
          <w:t>Documentation Conventions</w:t>
        </w:r>
        <w:r w:rsidR="002855B2">
          <w:rPr>
            <w:webHidden/>
          </w:rPr>
          <w:tab/>
        </w:r>
        <w:r w:rsidR="002855B2">
          <w:rPr>
            <w:webHidden/>
          </w:rPr>
          <w:fldChar w:fldCharType="begin"/>
        </w:r>
        <w:r w:rsidR="002855B2">
          <w:rPr>
            <w:webHidden/>
          </w:rPr>
          <w:instrText xml:space="preserve"> PAGEREF _Toc506368257 \h </w:instrText>
        </w:r>
        <w:r w:rsidR="002855B2">
          <w:rPr>
            <w:webHidden/>
          </w:rPr>
        </w:r>
        <w:r w:rsidR="002855B2">
          <w:rPr>
            <w:webHidden/>
          </w:rPr>
          <w:fldChar w:fldCharType="separate"/>
        </w:r>
        <w:r w:rsidR="002855B2">
          <w:rPr>
            <w:webHidden/>
          </w:rPr>
          <w:t>3</w:t>
        </w:r>
        <w:r w:rsidR="002855B2">
          <w:rPr>
            <w:webHidden/>
          </w:rPr>
          <w:fldChar w:fldCharType="end"/>
        </w:r>
      </w:hyperlink>
    </w:p>
    <w:p w14:paraId="4E9C317F" w14:textId="77777777" w:rsidR="002855B2" w:rsidRDefault="0032253D">
      <w:pPr>
        <w:pStyle w:val="TOC3"/>
        <w:rPr>
          <w:rFonts w:asciiTheme="minorHAnsi" w:eastAsiaTheme="minorEastAsia" w:hAnsiTheme="minorHAnsi" w:cstheme="minorBidi"/>
        </w:rPr>
      </w:pPr>
      <w:hyperlink w:anchor="_Toc506368258" w:history="1">
        <w:r w:rsidR="002855B2" w:rsidRPr="00E9711B">
          <w:rPr>
            <w:rStyle w:val="Hyperlink"/>
          </w:rPr>
          <w:t>1.2.6.</w:t>
        </w:r>
        <w:r w:rsidR="002855B2">
          <w:rPr>
            <w:rFonts w:asciiTheme="minorHAnsi" w:eastAsiaTheme="minorEastAsia" w:hAnsiTheme="minorHAnsi" w:cstheme="minorBidi"/>
          </w:rPr>
          <w:tab/>
        </w:r>
        <w:r w:rsidR="002855B2" w:rsidRPr="00E9711B">
          <w:rPr>
            <w:rStyle w:val="Hyperlink"/>
          </w:rPr>
          <w:t>References and Resources</w:t>
        </w:r>
        <w:r w:rsidR="002855B2">
          <w:rPr>
            <w:webHidden/>
          </w:rPr>
          <w:tab/>
        </w:r>
        <w:r w:rsidR="002855B2">
          <w:rPr>
            <w:webHidden/>
          </w:rPr>
          <w:fldChar w:fldCharType="begin"/>
        </w:r>
        <w:r w:rsidR="002855B2">
          <w:rPr>
            <w:webHidden/>
          </w:rPr>
          <w:instrText xml:space="preserve"> PAGEREF _Toc506368258 \h </w:instrText>
        </w:r>
        <w:r w:rsidR="002855B2">
          <w:rPr>
            <w:webHidden/>
          </w:rPr>
        </w:r>
        <w:r w:rsidR="002855B2">
          <w:rPr>
            <w:webHidden/>
          </w:rPr>
          <w:fldChar w:fldCharType="separate"/>
        </w:r>
        <w:r w:rsidR="002855B2">
          <w:rPr>
            <w:webHidden/>
          </w:rPr>
          <w:t>5</w:t>
        </w:r>
        <w:r w:rsidR="002855B2">
          <w:rPr>
            <w:webHidden/>
          </w:rPr>
          <w:fldChar w:fldCharType="end"/>
        </w:r>
      </w:hyperlink>
    </w:p>
    <w:p w14:paraId="5923C48E" w14:textId="77777777" w:rsidR="002855B2" w:rsidRDefault="0032253D">
      <w:pPr>
        <w:pStyle w:val="TOC4"/>
        <w:rPr>
          <w:rFonts w:asciiTheme="minorHAnsi" w:eastAsiaTheme="minorEastAsia" w:hAnsiTheme="minorHAnsi" w:cstheme="minorBidi"/>
          <w:szCs w:val="22"/>
        </w:rPr>
      </w:pPr>
      <w:hyperlink w:anchor="_Toc506368259" w:history="1">
        <w:r w:rsidR="002855B2" w:rsidRPr="00E9711B">
          <w:rPr>
            <w:rStyle w:val="Hyperlink"/>
          </w:rPr>
          <w:t>1.2.6.1.</w:t>
        </w:r>
        <w:r w:rsidR="002855B2">
          <w:rPr>
            <w:rFonts w:asciiTheme="minorHAnsi" w:eastAsiaTheme="minorEastAsia" w:hAnsiTheme="minorHAnsi" w:cstheme="minorBidi"/>
            <w:szCs w:val="22"/>
          </w:rPr>
          <w:tab/>
        </w:r>
        <w:r w:rsidR="002855B2" w:rsidRPr="00E9711B">
          <w:rPr>
            <w:rStyle w:val="Hyperlink"/>
          </w:rPr>
          <w:t>World Wide Web</w:t>
        </w:r>
        <w:r w:rsidR="002855B2">
          <w:rPr>
            <w:webHidden/>
          </w:rPr>
          <w:tab/>
        </w:r>
        <w:r w:rsidR="002855B2">
          <w:rPr>
            <w:webHidden/>
          </w:rPr>
          <w:fldChar w:fldCharType="begin"/>
        </w:r>
        <w:r w:rsidR="002855B2">
          <w:rPr>
            <w:webHidden/>
          </w:rPr>
          <w:instrText xml:space="preserve"> PAGEREF _Toc506368259 \h </w:instrText>
        </w:r>
        <w:r w:rsidR="002855B2">
          <w:rPr>
            <w:webHidden/>
          </w:rPr>
        </w:r>
        <w:r w:rsidR="002855B2">
          <w:rPr>
            <w:webHidden/>
          </w:rPr>
          <w:fldChar w:fldCharType="separate"/>
        </w:r>
        <w:r w:rsidR="002855B2">
          <w:rPr>
            <w:webHidden/>
          </w:rPr>
          <w:t>5</w:t>
        </w:r>
        <w:r w:rsidR="002855B2">
          <w:rPr>
            <w:webHidden/>
          </w:rPr>
          <w:fldChar w:fldCharType="end"/>
        </w:r>
      </w:hyperlink>
    </w:p>
    <w:p w14:paraId="4C38593F" w14:textId="77777777" w:rsidR="002855B2" w:rsidRDefault="0032253D">
      <w:pPr>
        <w:pStyle w:val="TOC4"/>
        <w:rPr>
          <w:rFonts w:asciiTheme="minorHAnsi" w:eastAsiaTheme="minorEastAsia" w:hAnsiTheme="minorHAnsi" w:cstheme="minorBidi"/>
          <w:szCs w:val="22"/>
        </w:rPr>
      </w:pPr>
      <w:hyperlink w:anchor="_Toc506368260" w:history="1">
        <w:r w:rsidR="002855B2" w:rsidRPr="00E9711B">
          <w:rPr>
            <w:rStyle w:val="Hyperlink"/>
          </w:rPr>
          <w:t>1.2.6.2.</w:t>
        </w:r>
        <w:r w:rsidR="002855B2">
          <w:rPr>
            <w:rFonts w:asciiTheme="minorHAnsi" w:eastAsiaTheme="minorEastAsia" w:hAnsiTheme="minorHAnsi" w:cstheme="minorBidi"/>
            <w:szCs w:val="22"/>
          </w:rPr>
          <w:tab/>
        </w:r>
        <w:r w:rsidR="002855B2" w:rsidRPr="00E9711B">
          <w:rPr>
            <w:rStyle w:val="Hyperlink"/>
          </w:rPr>
          <w:t>Online Help</w:t>
        </w:r>
        <w:r w:rsidR="002855B2">
          <w:rPr>
            <w:webHidden/>
          </w:rPr>
          <w:tab/>
        </w:r>
        <w:r w:rsidR="002855B2">
          <w:rPr>
            <w:webHidden/>
          </w:rPr>
          <w:fldChar w:fldCharType="begin"/>
        </w:r>
        <w:r w:rsidR="002855B2">
          <w:rPr>
            <w:webHidden/>
          </w:rPr>
          <w:instrText xml:space="preserve"> PAGEREF _Toc506368260 \h </w:instrText>
        </w:r>
        <w:r w:rsidR="002855B2">
          <w:rPr>
            <w:webHidden/>
          </w:rPr>
        </w:r>
        <w:r w:rsidR="002855B2">
          <w:rPr>
            <w:webHidden/>
          </w:rPr>
          <w:fldChar w:fldCharType="separate"/>
        </w:r>
        <w:r w:rsidR="002855B2">
          <w:rPr>
            <w:webHidden/>
          </w:rPr>
          <w:t>5</w:t>
        </w:r>
        <w:r w:rsidR="002855B2">
          <w:rPr>
            <w:webHidden/>
          </w:rPr>
          <w:fldChar w:fldCharType="end"/>
        </w:r>
      </w:hyperlink>
    </w:p>
    <w:p w14:paraId="28C4A1AD" w14:textId="77777777" w:rsidR="002855B2" w:rsidRDefault="0032253D">
      <w:pPr>
        <w:pStyle w:val="TOC2"/>
        <w:rPr>
          <w:rFonts w:asciiTheme="minorHAnsi" w:eastAsiaTheme="minorEastAsia" w:hAnsiTheme="minorHAnsi" w:cstheme="minorBidi"/>
        </w:rPr>
      </w:pPr>
      <w:hyperlink w:anchor="_Toc506368261" w:history="1">
        <w:r w:rsidR="002855B2" w:rsidRPr="00E9711B">
          <w:rPr>
            <w:rStyle w:val="Hyperlink"/>
          </w:rPr>
          <w:t>1.3.</w:t>
        </w:r>
        <w:r w:rsidR="002855B2">
          <w:rPr>
            <w:rFonts w:asciiTheme="minorHAnsi" w:eastAsiaTheme="minorEastAsia" w:hAnsiTheme="minorHAnsi" w:cstheme="minorBidi"/>
          </w:rPr>
          <w:tab/>
        </w:r>
        <w:r w:rsidR="002855B2" w:rsidRPr="00E9711B">
          <w:rPr>
            <w:rStyle w:val="Hyperlink"/>
          </w:rPr>
          <w:t>National Service Desk and Organizational Contacts</w:t>
        </w:r>
        <w:r w:rsidR="002855B2">
          <w:rPr>
            <w:webHidden/>
          </w:rPr>
          <w:tab/>
        </w:r>
        <w:r w:rsidR="002855B2">
          <w:rPr>
            <w:webHidden/>
          </w:rPr>
          <w:fldChar w:fldCharType="begin"/>
        </w:r>
        <w:r w:rsidR="002855B2">
          <w:rPr>
            <w:webHidden/>
          </w:rPr>
          <w:instrText xml:space="preserve"> PAGEREF _Toc506368261 \h </w:instrText>
        </w:r>
        <w:r w:rsidR="002855B2">
          <w:rPr>
            <w:webHidden/>
          </w:rPr>
        </w:r>
        <w:r w:rsidR="002855B2">
          <w:rPr>
            <w:webHidden/>
          </w:rPr>
          <w:fldChar w:fldCharType="separate"/>
        </w:r>
        <w:r w:rsidR="002855B2">
          <w:rPr>
            <w:webHidden/>
          </w:rPr>
          <w:t>5</w:t>
        </w:r>
        <w:r w:rsidR="002855B2">
          <w:rPr>
            <w:webHidden/>
          </w:rPr>
          <w:fldChar w:fldCharType="end"/>
        </w:r>
      </w:hyperlink>
    </w:p>
    <w:p w14:paraId="1A7B30E2" w14:textId="77777777" w:rsidR="002855B2" w:rsidRDefault="0032253D">
      <w:pPr>
        <w:pStyle w:val="TOC1"/>
        <w:rPr>
          <w:rFonts w:asciiTheme="minorHAnsi" w:eastAsiaTheme="minorEastAsia" w:hAnsiTheme="minorHAnsi" w:cstheme="minorBidi"/>
          <w:b w:val="0"/>
        </w:rPr>
      </w:pPr>
      <w:hyperlink w:anchor="_Toc506368262" w:history="1">
        <w:r w:rsidR="002855B2" w:rsidRPr="00E9711B">
          <w:rPr>
            <w:rStyle w:val="Hyperlink"/>
          </w:rPr>
          <w:t>2.</w:t>
        </w:r>
        <w:r w:rsidR="002855B2">
          <w:rPr>
            <w:rFonts w:asciiTheme="minorHAnsi" w:eastAsiaTheme="minorEastAsia" w:hAnsiTheme="minorHAnsi" w:cstheme="minorBidi"/>
            <w:b w:val="0"/>
          </w:rPr>
          <w:tab/>
        </w:r>
        <w:r w:rsidR="002855B2" w:rsidRPr="00E9711B">
          <w:rPr>
            <w:rStyle w:val="Hyperlink"/>
          </w:rPr>
          <w:t>System Summary</w:t>
        </w:r>
        <w:r w:rsidR="002855B2">
          <w:rPr>
            <w:webHidden/>
          </w:rPr>
          <w:tab/>
        </w:r>
        <w:r w:rsidR="002855B2">
          <w:rPr>
            <w:webHidden/>
          </w:rPr>
          <w:fldChar w:fldCharType="begin"/>
        </w:r>
        <w:r w:rsidR="002855B2">
          <w:rPr>
            <w:webHidden/>
          </w:rPr>
          <w:instrText xml:space="preserve"> PAGEREF _Toc506368262 \h </w:instrText>
        </w:r>
        <w:r w:rsidR="002855B2">
          <w:rPr>
            <w:webHidden/>
          </w:rPr>
        </w:r>
        <w:r w:rsidR="002855B2">
          <w:rPr>
            <w:webHidden/>
          </w:rPr>
          <w:fldChar w:fldCharType="separate"/>
        </w:r>
        <w:r w:rsidR="002855B2">
          <w:rPr>
            <w:webHidden/>
          </w:rPr>
          <w:t>5</w:t>
        </w:r>
        <w:r w:rsidR="002855B2">
          <w:rPr>
            <w:webHidden/>
          </w:rPr>
          <w:fldChar w:fldCharType="end"/>
        </w:r>
      </w:hyperlink>
    </w:p>
    <w:p w14:paraId="030F0913" w14:textId="77777777" w:rsidR="002855B2" w:rsidRDefault="0032253D">
      <w:pPr>
        <w:pStyle w:val="TOC2"/>
        <w:rPr>
          <w:rFonts w:asciiTheme="minorHAnsi" w:eastAsiaTheme="minorEastAsia" w:hAnsiTheme="minorHAnsi" w:cstheme="minorBidi"/>
        </w:rPr>
      </w:pPr>
      <w:hyperlink w:anchor="_Toc506368263" w:history="1">
        <w:r w:rsidR="002855B2" w:rsidRPr="00E9711B">
          <w:rPr>
            <w:rStyle w:val="Hyperlink"/>
          </w:rPr>
          <w:t>2.1.</w:t>
        </w:r>
        <w:r w:rsidR="002855B2">
          <w:rPr>
            <w:rFonts w:asciiTheme="minorHAnsi" w:eastAsiaTheme="minorEastAsia" w:hAnsiTheme="minorHAnsi" w:cstheme="minorBidi"/>
          </w:rPr>
          <w:tab/>
        </w:r>
        <w:r w:rsidR="002855B2" w:rsidRPr="00E9711B">
          <w:rPr>
            <w:rStyle w:val="Hyperlink"/>
          </w:rPr>
          <w:t>System Configuration</w:t>
        </w:r>
        <w:r w:rsidR="002855B2">
          <w:rPr>
            <w:webHidden/>
          </w:rPr>
          <w:tab/>
        </w:r>
        <w:r w:rsidR="002855B2">
          <w:rPr>
            <w:webHidden/>
          </w:rPr>
          <w:fldChar w:fldCharType="begin"/>
        </w:r>
        <w:r w:rsidR="002855B2">
          <w:rPr>
            <w:webHidden/>
          </w:rPr>
          <w:instrText xml:space="preserve"> PAGEREF _Toc506368263 \h </w:instrText>
        </w:r>
        <w:r w:rsidR="002855B2">
          <w:rPr>
            <w:webHidden/>
          </w:rPr>
        </w:r>
        <w:r w:rsidR="002855B2">
          <w:rPr>
            <w:webHidden/>
          </w:rPr>
          <w:fldChar w:fldCharType="separate"/>
        </w:r>
        <w:r w:rsidR="002855B2">
          <w:rPr>
            <w:webHidden/>
          </w:rPr>
          <w:t>6</w:t>
        </w:r>
        <w:r w:rsidR="002855B2">
          <w:rPr>
            <w:webHidden/>
          </w:rPr>
          <w:fldChar w:fldCharType="end"/>
        </w:r>
      </w:hyperlink>
    </w:p>
    <w:p w14:paraId="72DBCF81" w14:textId="77777777" w:rsidR="002855B2" w:rsidRDefault="0032253D">
      <w:pPr>
        <w:pStyle w:val="TOC2"/>
        <w:rPr>
          <w:rFonts w:asciiTheme="minorHAnsi" w:eastAsiaTheme="minorEastAsia" w:hAnsiTheme="minorHAnsi" w:cstheme="minorBidi"/>
        </w:rPr>
      </w:pPr>
      <w:hyperlink w:anchor="_Toc506368264" w:history="1">
        <w:r w:rsidR="002855B2" w:rsidRPr="00E9711B">
          <w:rPr>
            <w:rStyle w:val="Hyperlink"/>
          </w:rPr>
          <w:t>2.2.</w:t>
        </w:r>
        <w:r w:rsidR="002855B2">
          <w:rPr>
            <w:rFonts w:asciiTheme="minorHAnsi" w:eastAsiaTheme="minorEastAsia" w:hAnsiTheme="minorHAnsi" w:cstheme="minorBidi"/>
          </w:rPr>
          <w:tab/>
        </w:r>
        <w:r w:rsidR="002855B2" w:rsidRPr="00E9711B">
          <w:rPr>
            <w:rStyle w:val="Hyperlink"/>
          </w:rPr>
          <w:t>Data Flows</w:t>
        </w:r>
        <w:r w:rsidR="002855B2">
          <w:rPr>
            <w:webHidden/>
          </w:rPr>
          <w:tab/>
        </w:r>
        <w:r w:rsidR="002855B2">
          <w:rPr>
            <w:webHidden/>
          </w:rPr>
          <w:fldChar w:fldCharType="begin"/>
        </w:r>
        <w:r w:rsidR="002855B2">
          <w:rPr>
            <w:webHidden/>
          </w:rPr>
          <w:instrText xml:space="preserve"> PAGEREF _Toc506368264 \h </w:instrText>
        </w:r>
        <w:r w:rsidR="002855B2">
          <w:rPr>
            <w:webHidden/>
          </w:rPr>
        </w:r>
        <w:r w:rsidR="002855B2">
          <w:rPr>
            <w:webHidden/>
          </w:rPr>
          <w:fldChar w:fldCharType="separate"/>
        </w:r>
        <w:r w:rsidR="002855B2">
          <w:rPr>
            <w:webHidden/>
          </w:rPr>
          <w:t>7</w:t>
        </w:r>
        <w:r w:rsidR="002855B2">
          <w:rPr>
            <w:webHidden/>
          </w:rPr>
          <w:fldChar w:fldCharType="end"/>
        </w:r>
      </w:hyperlink>
    </w:p>
    <w:p w14:paraId="75B46B25" w14:textId="77777777" w:rsidR="002855B2" w:rsidRDefault="0032253D">
      <w:pPr>
        <w:pStyle w:val="TOC2"/>
        <w:rPr>
          <w:rFonts w:asciiTheme="minorHAnsi" w:eastAsiaTheme="minorEastAsia" w:hAnsiTheme="minorHAnsi" w:cstheme="minorBidi"/>
        </w:rPr>
      </w:pPr>
      <w:hyperlink w:anchor="_Toc506368265" w:history="1">
        <w:r w:rsidR="002855B2" w:rsidRPr="00E9711B">
          <w:rPr>
            <w:rStyle w:val="Hyperlink"/>
          </w:rPr>
          <w:t>2.3.</w:t>
        </w:r>
        <w:r w:rsidR="002855B2">
          <w:rPr>
            <w:rFonts w:asciiTheme="minorHAnsi" w:eastAsiaTheme="minorEastAsia" w:hAnsiTheme="minorHAnsi" w:cstheme="minorBidi"/>
          </w:rPr>
          <w:tab/>
        </w:r>
        <w:r w:rsidR="002855B2" w:rsidRPr="00E9711B">
          <w:rPr>
            <w:rStyle w:val="Hyperlink"/>
          </w:rPr>
          <w:t>User Access Levels</w:t>
        </w:r>
        <w:r w:rsidR="002855B2">
          <w:rPr>
            <w:webHidden/>
          </w:rPr>
          <w:tab/>
        </w:r>
        <w:r w:rsidR="002855B2">
          <w:rPr>
            <w:webHidden/>
          </w:rPr>
          <w:fldChar w:fldCharType="begin"/>
        </w:r>
        <w:r w:rsidR="002855B2">
          <w:rPr>
            <w:webHidden/>
          </w:rPr>
          <w:instrText xml:space="preserve"> PAGEREF _Toc506368265 \h </w:instrText>
        </w:r>
        <w:r w:rsidR="002855B2">
          <w:rPr>
            <w:webHidden/>
          </w:rPr>
        </w:r>
        <w:r w:rsidR="002855B2">
          <w:rPr>
            <w:webHidden/>
          </w:rPr>
          <w:fldChar w:fldCharType="separate"/>
        </w:r>
        <w:r w:rsidR="002855B2">
          <w:rPr>
            <w:webHidden/>
          </w:rPr>
          <w:t>7</w:t>
        </w:r>
        <w:r w:rsidR="002855B2">
          <w:rPr>
            <w:webHidden/>
          </w:rPr>
          <w:fldChar w:fldCharType="end"/>
        </w:r>
      </w:hyperlink>
    </w:p>
    <w:p w14:paraId="257F4EC6" w14:textId="77777777" w:rsidR="002855B2" w:rsidRDefault="0032253D">
      <w:pPr>
        <w:pStyle w:val="TOC2"/>
        <w:rPr>
          <w:rFonts w:asciiTheme="minorHAnsi" w:eastAsiaTheme="minorEastAsia" w:hAnsiTheme="minorHAnsi" w:cstheme="minorBidi"/>
        </w:rPr>
      </w:pPr>
      <w:hyperlink w:anchor="_Toc506368266" w:history="1">
        <w:r w:rsidR="002855B2" w:rsidRPr="00E9711B">
          <w:rPr>
            <w:rStyle w:val="Hyperlink"/>
          </w:rPr>
          <w:t>2.4.</w:t>
        </w:r>
        <w:r w:rsidR="002855B2">
          <w:rPr>
            <w:rFonts w:asciiTheme="minorHAnsi" w:eastAsiaTheme="minorEastAsia" w:hAnsiTheme="minorHAnsi" w:cstheme="minorBidi"/>
          </w:rPr>
          <w:tab/>
        </w:r>
        <w:r w:rsidR="002855B2" w:rsidRPr="00E9711B">
          <w:rPr>
            <w:rStyle w:val="Hyperlink"/>
          </w:rPr>
          <w:t>Continuity of Operation</w:t>
        </w:r>
        <w:r w:rsidR="002855B2">
          <w:rPr>
            <w:webHidden/>
          </w:rPr>
          <w:tab/>
        </w:r>
        <w:r w:rsidR="002855B2">
          <w:rPr>
            <w:webHidden/>
          </w:rPr>
          <w:fldChar w:fldCharType="begin"/>
        </w:r>
        <w:r w:rsidR="002855B2">
          <w:rPr>
            <w:webHidden/>
          </w:rPr>
          <w:instrText xml:space="preserve"> PAGEREF _Toc506368266 \h </w:instrText>
        </w:r>
        <w:r w:rsidR="002855B2">
          <w:rPr>
            <w:webHidden/>
          </w:rPr>
        </w:r>
        <w:r w:rsidR="002855B2">
          <w:rPr>
            <w:webHidden/>
          </w:rPr>
          <w:fldChar w:fldCharType="separate"/>
        </w:r>
        <w:r w:rsidR="002855B2">
          <w:rPr>
            <w:webHidden/>
          </w:rPr>
          <w:t>7</w:t>
        </w:r>
        <w:r w:rsidR="002855B2">
          <w:rPr>
            <w:webHidden/>
          </w:rPr>
          <w:fldChar w:fldCharType="end"/>
        </w:r>
      </w:hyperlink>
    </w:p>
    <w:p w14:paraId="1FFDBDCD" w14:textId="77777777" w:rsidR="002855B2" w:rsidRDefault="0032253D">
      <w:pPr>
        <w:pStyle w:val="TOC1"/>
        <w:rPr>
          <w:rFonts w:asciiTheme="minorHAnsi" w:eastAsiaTheme="minorEastAsia" w:hAnsiTheme="minorHAnsi" w:cstheme="minorBidi"/>
          <w:b w:val="0"/>
        </w:rPr>
      </w:pPr>
      <w:hyperlink w:anchor="_Toc506368267" w:history="1">
        <w:r w:rsidR="002855B2" w:rsidRPr="00E9711B">
          <w:rPr>
            <w:rStyle w:val="Hyperlink"/>
          </w:rPr>
          <w:t>3.</w:t>
        </w:r>
        <w:r w:rsidR="002855B2">
          <w:rPr>
            <w:rFonts w:asciiTheme="minorHAnsi" w:eastAsiaTheme="minorEastAsia" w:hAnsiTheme="minorHAnsi" w:cstheme="minorBidi"/>
            <w:b w:val="0"/>
          </w:rPr>
          <w:tab/>
        </w:r>
        <w:r w:rsidR="002855B2" w:rsidRPr="00E9711B">
          <w:rPr>
            <w:rStyle w:val="Hyperlink"/>
          </w:rPr>
          <w:t>Getting Started</w:t>
        </w:r>
        <w:r w:rsidR="002855B2">
          <w:rPr>
            <w:webHidden/>
          </w:rPr>
          <w:tab/>
        </w:r>
        <w:r w:rsidR="002855B2">
          <w:rPr>
            <w:webHidden/>
          </w:rPr>
          <w:fldChar w:fldCharType="begin"/>
        </w:r>
        <w:r w:rsidR="002855B2">
          <w:rPr>
            <w:webHidden/>
          </w:rPr>
          <w:instrText xml:space="preserve"> PAGEREF _Toc506368267 \h </w:instrText>
        </w:r>
        <w:r w:rsidR="002855B2">
          <w:rPr>
            <w:webHidden/>
          </w:rPr>
        </w:r>
        <w:r w:rsidR="002855B2">
          <w:rPr>
            <w:webHidden/>
          </w:rPr>
          <w:fldChar w:fldCharType="separate"/>
        </w:r>
        <w:r w:rsidR="002855B2">
          <w:rPr>
            <w:webHidden/>
          </w:rPr>
          <w:t>8</w:t>
        </w:r>
        <w:r w:rsidR="002855B2">
          <w:rPr>
            <w:webHidden/>
          </w:rPr>
          <w:fldChar w:fldCharType="end"/>
        </w:r>
      </w:hyperlink>
    </w:p>
    <w:p w14:paraId="646719F7" w14:textId="77777777" w:rsidR="002855B2" w:rsidRDefault="0032253D">
      <w:pPr>
        <w:pStyle w:val="TOC2"/>
        <w:rPr>
          <w:rFonts w:asciiTheme="minorHAnsi" w:eastAsiaTheme="minorEastAsia" w:hAnsiTheme="minorHAnsi" w:cstheme="minorBidi"/>
        </w:rPr>
      </w:pPr>
      <w:hyperlink w:anchor="_Toc506368268" w:history="1">
        <w:r w:rsidR="002855B2" w:rsidRPr="00E9711B">
          <w:rPr>
            <w:rStyle w:val="Hyperlink"/>
          </w:rPr>
          <w:t>3.1.</w:t>
        </w:r>
        <w:r w:rsidR="002855B2">
          <w:rPr>
            <w:rFonts w:asciiTheme="minorHAnsi" w:eastAsiaTheme="minorEastAsia" w:hAnsiTheme="minorHAnsi" w:cstheme="minorBidi"/>
          </w:rPr>
          <w:tab/>
        </w:r>
        <w:r w:rsidR="002855B2" w:rsidRPr="00E9711B">
          <w:rPr>
            <w:rStyle w:val="Hyperlink"/>
          </w:rPr>
          <w:t>Logging On</w:t>
        </w:r>
        <w:r w:rsidR="002855B2">
          <w:rPr>
            <w:webHidden/>
          </w:rPr>
          <w:tab/>
        </w:r>
        <w:r w:rsidR="002855B2">
          <w:rPr>
            <w:webHidden/>
          </w:rPr>
          <w:fldChar w:fldCharType="begin"/>
        </w:r>
        <w:r w:rsidR="002855B2">
          <w:rPr>
            <w:webHidden/>
          </w:rPr>
          <w:instrText xml:space="preserve"> PAGEREF _Toc506368268 \h </w:instrText>
        </w:r>
        <w:r w:rsidR="002855B2">
          <w:rPr>
            <w:webHidden/>
          </w:rPr>
        </w:r>
        <w:r w:rsidR="002855B2">
          <w:rPr>
            <w:webHidden/>
          </w:rPr>
          <w:fldChar w:fldCharType="separate"/>
        </w:r>
        <w:r w:rsidR="002855B2">
          <w:rPr>
            <w:webHidden/>
          </w:rPr>
          <w:t>8</w:t>
        </w:r>
        <w:r w:rsidR="002855B2">
          <w:rPr>
            <w:webHidden/>
          </w:rPr>
          <w:fldChar w:fldCharType="end"/>
        </w:r>
      </w:hyperlink>
    </w:p>
    <w:p w14:paraId="625C1748" w14:textId="77777777" w:rsidR="002855B2" w:rsidRDefault="0032253D">
      <w:pPr>
        <w:pStyle w:val="TOC2"/>
        <w:rPr>
          <w:rFonts w:asciiTheme="minorHAnsi" w:eastAsiaTheme="minorEastAsia" w:hAnsiTheme="minorHAnsi" w:cstheme="minorBidi"/>
        </w:rPr>
      </w:pPr>
      <w:hyperlink w:anchor="_Toc506368269" w:history="1">
        <w:r w:rsidR="002855B2" w:rsidRPr="00E9711B">
          <w:rPr>
            <w:rStyle w:val="Hyperlink"/>
          </w:rPr>
          <w:t>3.2.</w:t>
        </w:r>
        <w:r w:rsidR="002855B2">
          <w:rPr>
            <w:rFonts w:asciiTheme="minorHAnsi" w:eastAsiaTheme="minorEastAsia" w:hAnsiTheme="minorHAnsi" w:cstheme="minorBidi"/>
          </w:rPr>
          <w:tab/>
        </w:r>
        <w:r w:rsidR="002855B2" w:rsidRPr="00E9711B">
          <w:rPr>
            <w:rStyle w:val="Hyperlink"/>
          </w:rPr>
          <w:t>System Menu</w:t>
        </w:r>
        <w:r w:rsidR="002855B2">
          <w:rPr>
            <w:webHidden/>
          </w:rPr>
          <w:tab/>
        </w:r>
        <w:r w:rsidR="002855B2">
          <w:rPr>
            <w:webHidden/>
          </w:rPr>
          <w:fldChar w:fldCharType="begin"/>
        </w:r>
        <w:r w:rsidR="002855B2">
          <w:rPr>
            <w:webHidden/>
          </w:rPr>
          <w:instrText xml:space="preserve"> PAGEREF _Toc506368269 \h </w:instrText>
        </w:r>
        <w:r w:rsidR="002855B2">
          <w:rPr>
            <w:webHidden/>
          </w:rPr>
        </w:r>
        <w:r w:rsidR="002855B2">
          <w:rPr>
            <w:webHidden/>
          </w:rPr>
          <w:fldChar w:fldCharType="separate"/>
        </w:r>
        <w:r w:rsidR="002855B2">
          <w:rPr>
            <w:webHidden/>
          </w:rPr>
          <w:t>8</w:t>
        </w:r>
        <w:r w:rsidR="002855B2">
          <w:rPr>
            <w:webHidden/>
          </w:rPr>
          <w:fldChar w:fldCharType="end"/>
        </w:r>
      </w:hyperlink>
    </w:p>
    <w:p w14:paraId="01F61D58" w14:textId="77777777" w:rsidR="002855B2" w:rsidRDefault="0032253D">
      <w:pPr>
        <w:pStyle w:val="TOC3"/>
        <w:rPr>
          <w:rFonts w:asciiTheme="minorHAnsi" w:eastAsiaTheme="minorEastAsia" w:hAnsiTheme="minorHAnsi" w:cstheme="minorBidi"/>
        </w:rPr>
      </w:pPr>
      <w:hyperlink w:anchor="_Toc506368270" w:history="1">
        <w:r w:rsidR="002855B2" w:rsidRPr="00E9711B">
          <w:rPr>
            <w:rStyle w:val="Hyperlink"/>
          </w:rPr>
          <w:t>3.2.1.</w:t>
        </w:r>
        <w:r w:rsidR="002855B2">
          <w:rPr>
            <w:rFonts w:asciiTheme="minorHAnsi" w:eastAsiaTheme="minorEastAsia" w:hAnsiTheme="minorHAnsi" w:cstheme="minorBidi"/>
          </w:rPr>
          <w:tab/>
        </w:r>
        <w:r w:rsidR="002855B2" w:rsidRPr="00E9711B">
          <w:rPr>
            <w:rStyle w:val="Hyperlink"/>
          </w:rPr>
          <w:t>Logging In to Provider Utilities</w:t>
        </w:r>
        <w:r w:rsidR="002855B2">
          <w:rPr>
            <w:webHidden/>
          </w:rPr>
          <w:tab/>
        </w:r>
        <w:r w:rsidR="002855B2">
          <w:rPr>
            <w:webHidden/>
          </w:rPr>
          <w:fldChar w:fldCharType="begin"/>
        </w:r>
        <w:r w:rsidR="002855B2">
          <w:rPr>
            <w:webHidden/>
          </w:rPr>
          <w:instrText xml:space="preserve"> PAGEREF _Toc506368270 \h </w:instrText>
        </w:r>
        <w:r w:rsidR="002855B2">
          <w:rPr>
            <w:webHidden/>
          </w:rPr>
        </w:r>
        <w:r w:rsidR="002855B2">
          <w:rPr>
            <w:webHidden/>
          </w:rPr>
          <w:fldChar w:fldCharType="separate"/>
        </w:r>
        <w:r w:rsidR="002855B2">
          <w:rPr>
            <w:webHidden/>
          </w:rPr>
          <w:t>8</w:t>
        </w:r>
        <w:r w:rsidR="002855B2">
          <w:rPr>
            <w:webHidden/>
          </w:rPr>
          <w:fldChar w:fldCharType="end"/>
        </w:r>
      </w:hyperlink>
    </w:p>
    <w:p w14:paraId="59D079EE" w14:textId="77777777" w:rsidR="002855B2" w:rsidRDefault="0032253D">
      <w:pPr>
        <w:pStyle w:val="TOC2"/>
        <w:rPr>
          <w:rFonts w:asciiTheme="minorHAnsi" w:eastAsiaTheme="minorEastAsia" w:hAnsiTheme="minorHAnsi" w:cstheme="minorBidi"/>
        </w:rPr>
      </w:pPr>
      <w:hyperlink w:anchor="_Toc506368271" w:history="1">
        <w:r w:rsidR="002855B2" w:rsidRPr="00E9711B">
          <w:rPr>
            <w:rStyle w:val="Hyperlink"/>
          </w:rPr>
          <w:t>3.3.</w:t>
        </w:r>
        <w:r w:rsidR="002855B2">
          <w:rPr>
            <w:rFonts w:asciiTheme="minorHAnsi" w:eastAsiaTheme="minorEastAsia" w:hAnsiTheme="minorHAnsi" w:cstheme="minorBidi"/>
          </w:rPr>
          <w:tab/>
        </w:r>
        <w:r w:rsidR="002855B2" w:rsidRPr="00E9711B">
          <w:rPr>
            <w:rStyle w:val="Hyperlink"/>
          </w:rPr>
          <w:t>Changing User ID and Password</w:t>
        </w:r>
        <w:r w:rsidR="002855B2">
          <w:rPr>
            <w:webHidden/>
          </w:rPr>
          <w:tab/>
        </w:r>
        <w:r w:rsidR="002855B2">
          <w:rPr>
            <w:webHidden/>
          </w:rPr>
          <w:fldChar w:fldCharType="begin"/>
        </w:r>
        <w:r w:rsidR="002855B2">
          <w:rPr>
            <w:webHidden/>
          </w:rPr>
          <w:instrText xml:space="preserve"> PAGEREF _Toc506368271 \h </w:instrText>
        </w:r>
        <w:r w:rsidR="002855B2">
          <w:rPr>
            <w:webHidden/>
          </w:rPr>
        </w:r>
        <w:r w:rsidR="002855B2">
          <w:rPr>
            <w:webHidden/>
          </w:rPr>
          <w:fldChar w:fldCharType="separate"/>
        </w:r>
        <w:r w:rsidR="002855B2">
          <w:rPr>
            <w:webHidden/>
          </w:rPr>
          <w:t>10</w:t>
        </w:r>
        <w:r w:rsidR="002855B2">
          <w:rPr>
            <w:webHidden/>
          </w:rPr>
          <w:fldChar w:fldCharType="end"/>
        </w:r>
      </w:hyperlink>
    </w:p>
    <w:p w14:paraId="2DE28BD0" w14:textId="77777777" w:rsidR="002855B2" w:rsidRDefault="0032253D">
      <w:pPr>
        <w:pStyle w:val="TOC2"/>
        <w:rPr>
          <w:rFonts w:asciiTheme="minorHAnsi" w:eastAsiaTheme="minorEastAsia" w:hAnsiTheme="minorHAnsi" w:cstheme="minorBidi"/>
        </w:rPr>
      </w:pPr>
      <w:hyperlink w:anchor="_Toc506368272" w:history="1">
        <w:r w:rsidR="002855B2" w:rsidRPr="00E9711B">
          <w:rPr>
            <w:rStyle w:val="Hyperlink"/>
          </w:rPr>
          <w:t>3.4.</w:t>
        </w:r>
        <w:r w:rsidR="002855B2">
          <w:rPr>
            <w:rFonts w:asciiTheme="minorHAnsi" w:eastAsiaTheme="minorEastAsia" w:hAnsiTheme="minorHAnsi" w:cstheme="minorBidi"/>
          </w:rPr>
          <w:tab/>
        </w:r>
        <w:r w:rsidR="002855B2" w:rsidRPr="00E9711B">
          <w:rPr>
            <w:rStyle w:val="Hyperlink"/>
          </w:rPr>
          <w:t>Exit System</w:t>
        </w:r>
        <w:r w:rsidR="002855B2">
          <w:rPr>
            <w:webHidden/>
          </w:rPr>
          <w:tab/>
        </w:r>
        <w:r w:rsidR="002855B2">
          <w:rPr>
            <w:webHidden/>
          </w:rPr>
          <w:fldChar w:fldCharType="begin"/>
        </w:r>
        <w:r w:rsidR="002855B2">
          <w:rPr>
            <w:webHidden/>
          </w:rPr>
          <w:instrText xml:space="preserve"> PAGEREF _Toc506368272 \h </w:instrText>
        </w:r>
        <w:r w:rsidR="002855B2">
          <w:rPr>
            <w:webHidden/>
          </w:rPr>
        </w:r>
        <w:r w:rsidR="002855B2">
          <w:rPr>
            <w:webHidden/>
          </w:rPr>
          <w:fldChar w:fldCharType="separate"/>
        </w:r>
        <w:r w:rsidR="002855B2">
          <w:rPr>
            <w:webHidden/>
          </w:rPr>
          <w:t>10</w:t>
        </w:r>
        <w:r w:rsidR="002855B2">
          <w:rPr>
            <w:webHidden/>
          </w:rPr>
          <w:fldChar w:fldCharType="end"/>
        </w:r>
      </w:hyperlink>
    </w:p>
    <w:p w14:paraId="671A67B4" w14:textId="77777777" w:rsidR="002855B2" w:rsidRDefault="0032253D">
      <w:pPr>
        <w:pStyle w:val="TOC2"/>
        <w:rPr>
          <w:rFonts w:asciiTheme="minorHAnsi" w:eastAsiaTheme="minorEastAsia" w:hAnsiTheme="minorHAnsi" w:cstheme="minorBidi"/>
        </w:rPr>
      </w:pPr>
      <w:hyperlink w:anchor="_Toc506368273" w:history="1">
        <w:r w:rsidR="002855B2" w:rsidRPr="00E9711B">
          <w:rPr>
            <w:rStyle w:val="Hyperlink"/>
          </w:rPr>
          <w:t>3.5.</w:t>
        </w:r>
        <w:r w:rsidR="002855B2">
          <w:rPr>
            <w:rFonts w:asciiTheme="minorHAnsi" w:eastAsiaTheme="minorEastAsia" w:hAnsiTheme="minorHAnsi" w:cstheme="minorBidi"/>
          </w:rPr>
          <w:tab/>
        </w:r>
        <w:r w:rsidR="002855B2" w:rsidRPr="00E9711B">
          <w:rPr>
            <w:rStyle w:val="Hyperlink"/>
          </w:rPr>
          <w:t>Caveats and Exceptions</w:t>
        </w:r>
        <w:r w:rsidR="002855B2">
          <w:rPr>
            <w:webHidden/>
          </w:rPr>
          <w:tab/>
        </w:r>
        <w:r w:rsidR="002855B2">
          <w:rPr>
            <w:webHidden/>
          </w:rPr>
          <w:fldChar w:fldCharType="begin"/>
        </w:r>
        <w:r w:rsidR="002855B2">
          <w:rPr>
            <w:webHidden/>
          </w:rPr>
          <w:instrText xml:space="preserve"> PAGEREF _Toc506368273 \h </w:instrText>
        </w:r>
        <w:r w:rsidR="002855B2">
          <w:rPr>
            <w:webHidden/>
          </w:rPr>
        </w:r>
        <w:r w:rsidR="002855B2">
          <w:rPr>
            <w:webHidden/>
          </w:rPr>
          <w:fldChar w:fldCharType="separate"/>
        </w:r>
        <w:r w:rsidR="002855B2">
          <w:rPr>
            <w:webHidden/>
          </w:rPr>
          <w:t>11</w:t>
        </w:r>
        <w:r w:rsidR="002855B2">
          <w:rPr>
            <w:webHidden/>
          </w:rPr>
          <w:fldChar w:fldCharType="end"/>
        </w:r>
      </w:hyperlink>
    </w:p>
    <w:p w14:paraId="7B09469E" w14:textId="77777777" w:rsidR="002855B2" w:rsidRDefault="0032253D">
      <w:pPr>
        <w:pStyle w:val="TOC1"/>
        <w:rPr>
          <w:rFonts w:asciiTheme="minorHAnsi" w:eastAsiaTheme="minorEastAsia" w:hAnsiTheme="minorHAnsi" w:cstheme="minorBidi"/>
          <w:b w:val="0"/>
        </w:rPr>
      </w:pPr>
      <w:hyperlink w:anchor="_Toc506368274" w:history="1">
        <w:r w:rsidR="002855B2" w:rsidRPr="00E9711B">
          <w:rPr>
            <w:rStyle w:val="Hyperlink"/>
          </w:rPr>
          <w:t>4.</w:t>
        </w:r>
        <w:r w:rsidR="002855B2">
          <w:rPr>
            <w:rFonts w:asciiTheme="minorHAnsi" w:eastAsiaTheme="minorEastAsia" w:hAnsiTheme="minorHAnsi" w:cstheme="minorBidi"/>
            <w:b w:val="0"/>
          </w:rPr>
          <w:tab/>
        </w:r>
        <w:r w:rsidR="002855B2" w:rsidRPr="00E9711B">
          <w:rPr>
            <w:rStyle w:val="Hyperlink"/>
          </w:rPr>
          <w:t>Using the Software</w:t>
        </w:r>
        <w:r w:rsidR="002855B2">
          <w:rPr>
            <w:webHidden/>
          </w:rPr>
          <w:tab/>
        </w:r>
        <w:r w:rsidR="002855B2">
          <w:rPr>
            <w:webHidden/>
          </w:rPr>
          <w:fldChar w:fldCharType="begin"/>
        </w:r>
        <w:r w:rsidR="002855B2">
          <w:rPr>
            <w:webHidden/>
          </w:rPr>
          <w:instrText xml:space="preserve"> PAGEREF _Toc506368274 \h </w:instrText>
        </w:r>
        <w:r w:rsidR="002855B2">
          <w:rPr>
            <w:webHidden/>
          </w:rPr>
        </w:r>
        <w:r w:rsidR="002855B2">
          <w:rPr>
            <w:webHidden/>
          </w:rPr>
          <w:fldChar w:fldCharType="separate"/>
        </w:r>
        <w:r w:rsidR="002855B2">
          <w:rPr>
            <w:webHidden/>
          </w:rPr>
          <w:t>11</w:t>
        </w:r>
        <w:r w:rsidR="002855B2">
          <w:rPr>
            <w:webHidden/>
          </w:rPr>
          <w:fldChar w:fldCharType="end"/>
        </w:r>
      </w:hyperlink>
    </w:p>
    <w:p w14:paraId="2DE7209F" w14:textId="77777777" w:rsidR="002855B2" w:rsidRDefault="0032253D">
      <w:pPr>
        <w:pStyle w:val="TOC2"/>
        <w:rPr>
          <w:rFonts w:asciiTheme="minorHAnsi" w:eastAsiaTheme="minorEastAsia" w:hAnsiTheme="minorHAnsi" w:cstheme="minorBidi"/>
        </w:rPr>
      </w:pPr>
      <w:hyperlink w:anchor="_Toc506368275" w:history="1">
        <w:r w:rsidR="002855B2" w:rsidRPr="00E9711B">
          <w:rPr>
            <w:rStyle w:val="Hyperlink"/>
          </w:rPr>
          <w:t>4.1.</w:t>
        </w:r>
        <w:r w:rsidR="002855B2">
          <w:rPr>
            <w:rFonts w:asciiTheme="minorHAnsi" w:eastAsiaTheme="minorEastAsia" w:hAnsiTheme="minorHAnsi" w:cstheme="minorBidi"/>
          </w:rPr>
          <w:tab/>
        </w:r>
        <w:r w:rsidR="002855B2" w:rsidRPr="00E9711B">
          <w:rPr>
            <w:rStyle w:val="Hyperlink"/>
          </w:rPr>
          <w:t>Preparing for a Provider Role Change</w:t>
        </w:r>
        <w:r w:rsidR="002855B2">
          <w:rPr>
            <w:webHidden/>
          </w:rPr>
          <w:tab/>
        </w:r>
        <w:r w:rsidR="002855B2">
          <w:rPr>
            <w:webHidden/>
          </w:rPr>
          <w:fldChar w:fldCharType="begin"/>
        </w:r>
        <w:r w:rsidR="002855B2">
          <w:rPr>
            <w:webHidden/>
          </w:rPr>
          <w:instrText xml:space="preserve"> PAGEREF _Toc506368275 \h </w:instrText>
        </w:r>
        <w:r w:rsidR="002855B2">
          <w:rPr>
            <w:webHidden/>
          </w:rPr>
        </w:r>
        <w:r w:rsidR="002855B2">
          <w:rPr>
            <w:webHidden/>
          </w:rPr>
          <w:fldChar w:fldCharType="separate"/>
        </w:r>
        <w:r w:rsidR="002855B2">
          <w:rPr>
            <w:webHidden/>
          </w:rPr>
          <w:t>11</w:t>
        </w:r>
        <w:r w:rsidR="002855B2">
          <w:rPr>
            <w:webHidden/>
          </w:rPr>
          <w:fldChar w:fldCharType="end"/>
        </w:r>
      </w:hyperlink>
    </w:p>
    <w:p w14:paraId="16DB4BF5" w14:textId="77777777" w:rsidR="002855B2" w:rsidRDefault="0032253D">
      <w:pPr>
        <w:pStyle w:val="TOC2"/>
        <w:rPr>
          <w:rFonts w:asciiTheme="minorHAnsi" w:eastAsiaTheme="minorEastAsia" w:hAnsiTheme="minorHAnsi" w:cstheme="minorBidi"/>
        </w:rPr>
      </w:pPr>
      <w:hyperlink w:anchor="_Toc506368276" w:history="1">
        <w:r w:rsidR="002855B2" w:rsidRPr="00E9711B">
          <w:rPr>
            <w:rStyle w:val="Hyperlink"/>
          </w:rPr>
          <w:t>4.2.</w:t>
        </w:r>
        <w:r w:rsidR="002855B2">
          <w:rPr>
            <w:rFonts w:asciiTheme="minorHAnsi" w:eastAsiaTheme="minorEastAsia" w:hAnsiTheme="minorHAnsi" w:cstheme="minorBidi"/>
          </w:rPr>
          <w:tab/>
        </w:r>
        <w:r w:rsidR="002855B2" w:rsidRPr="00E9711B">
          <w:rPr>
            <w:rStyle w:val="Hyperlink"/>
          </w:rPr>
          <w:t>Main Window</w:t>
        </w:r>
        <w:r w:rsidR="002855B2">
          <w:rPr>
            <w:webHidden/>
          </w:rPr>
          <w:tab/>
        </w:r>
        <w:r w:rsidR="002855B2">
          <w:rPr>
            <w:webHidden/>
          </w:rPr>
          <w:fldChar w:fldCharType="begin"/>
        </w:r>
        <w:r w:rsidR="002855B2">
          <w:rPr>
            <w:webHidden/>
          </w:rPr>
          <w:instrText xml:space="preserve"> PAGEREF _Toc506368276 \h </w:instrText>
        </w:r>
        <w:r w:rsidR="002855B2">
          <w:rPr>
            <w:webHidden/>
          </w:rPr>
        </w:r>
        <w:r w:rsidR="002855B2">
          <w:rPr>
            <w:webHidden/>
          </w:rPr>
          <w:fldChar w:fldCharType="separate"/>
        </w:r>
        <w:r w:rsidR="002855B2">
          <w:rPr>
            <w:webHidden/>
          </w:rPr>
          <w:t>12</w:t>
        </w:r>
        <w:r w:rsidR="002855B2">
          <w:rPr>
            <w:webHidden/>
          </w:rPr>
          <w:fldChar w:fldCharType="end"/>
        </w:r>
      </w:hyperlink>
    </w:p>
    <w:p w14:paraId="75FDA176" w14:textId="77777777" w:rsidR="002855B2" w:rsidRDefault="0032253D">
      <w:pPr>
        <w:pStyle w:val="TOC3"/>
        <w:rPr>
          <w:rFonts w:asciiTheme="minorHAnsi" w:eastAsiaTheme="minorEastAsia" w:hAnsiTheme="minorHAnsi" w:cstheme="minorBidi"/>
        </w:rPr>
      </w:pPr>
      <w:hyperlink w:anchor="_Toc506368277" w:history="1">
        <w:r w:rsidR="002855B2" w:rsidRPr="00E9711B">
          <w:rPr>
            <w:rStyle w:val="Hyperlink"/>
          </w:rPr>
          <w:t>4.2.1.</w:t>
        </w:r>
        <w:r w:rsidR="002855B2">
          <w:rPr>
            <w:rFonts w:asciiTheme="minorHAnsi" w:eastAsiaTheme="minorEastAsia" w:hAnsiTheme="minorHAnsi" w:cstheme="minorBidi"/>
          </w:rPr>
          <w:tab/>
        </w:r>
        <w:r w:rsidR="002855B2" w:rsidRPr="00E9711B">
          <w:rPr>
            <w:rStyle w:val="Hyperlink"/>
          </w:rPr>
          <w:t>Window Layout</w:t>
        </w:r>
        <w:r w:rsidR="002855B2">
          <w:rPr>
            <w:webHidden/>
          </w:rPr>
          <w:tab/>
        </w:r>
        <w:r w:rsidR="002855B2">
          <w:rPr>
            <w:webHidden/>
          </w:rPr>
          <w:fldChar w:fldCharType="begin"/>
        </w:r>
        <w:r w:rsidR="002855B2">
          <w:rPr>
            <w:webHidden/>
          </w:rPr>
          <w:instrText xml:space="preserve"> PAGEREF _Toc506368277 \h </w:instrText>
        </w:r>
        <w:r w:rsidR="002855B2">
          <w:rPr>
            <w:webHidden/>
          </w:rPr>
        </w:r>
        <w:r w:rsidR="002855B2">
          <w:rPr>
            <w:webHidden/>
          </w:rPr>
          <w:fldChar w:fldCharType="separate"/>
        </w:r>
        <w:r w:rsidR="002855B2">
          <w:rPr>
            <w:webHidden/>
          </w:rPr>
          <w:t>12</w:t>
        </w:r>
        <w:r w:rsidR="002855B2">
          <w:rPr>
            <w:webHidden/>
          </w:rPr>
          <w:fldChar w:fldCharType="end"/>
        </w:r>
      </w:hyperlink>
    </w:p>
    <w:p w14:paraId="1E281332" w14:textId="77777777" w:rsidR="002855B2" w:rsidRDefault="0032253D">
      <w:pPr>
        <w:pStyle w:val="TOC2"/>
        <w:rPr>
          <w:rFonts w:asciiTheme="minorHAnsi" w:eastAsiaTheme="minorEastAsia" w:hAnsiTheme="minorHAnsi" w:cstheme="minorBidi"/>
        </w:rPr>
      </w:pPr>
      <w:hyperlink w:anchor="_Toc506368278" w:history="1">
        <w:r w:rsidR="002855B2" w:rsidRPr="00E9711B">
          <w:rPr>
            <w:rStyle w:val="Hyperlink"/>
          </w:rPr>
          <w:t>4.3.</w:t>
        </w:r>
        <w:r w:rsidR="002855B2">
          <w:rPr>
            <w:rFonts w:asciiTheme="minorHAnsi" w:eastAsiaTheme="minorEastAsia" w:hAnsiTheme="minorHAnsi" w:cstheme="minorBidi"/>
          </w:rPr>
          <w:tab/>
        </w:r>
        <w:r w:rsidR="002855B2" w:rsidRPr="00E9711B">
          <w:rPr>
            <w:rStyle w:val="Hyperlink"/>
          </w:rPr>
          <w:t>Viewing Patient Orders</w:t>
        </w:r>
        <w:r w:rsidR="002855B2">
          <w:rPr>
            <w:webHidden/>
          </w:rPr>
          <w:tab/>
        </w:r>
        <w:r w:rsidR="002855B2">
          <w:rPr>
            <w:webHidden/>
          </w:rPr>
          <w:fldChar w:fldCharType="begin"/>
        </w:r>
        <w:r w:rsidR="002855B2">
          <w:rPr>
            <w:webHidden/>
          </w:rPr>
          <w:instrText xml:space="preserve"> PAGEREF _Toc506368278 \h </w:instrText>
        </w:r>
        <w:r w:rsidR="002855B2">
          <w:rPr>
            <w:webHidden/>
          </w:rPr>
        </w:r>
        <w:r w:rsidR="002855B2">
          <w:rPr>
            <w:webHidden/>
          </w:rPr>
          <w:fldChar w:fldCharType="separate"/>
        </w:r>
        <w:r w:rsidR="002855B2">
          <w:rPr>
            <w:webHidden/>
          </w:rPr>
          <w:t>16</w:t>
        </w:r>
        <w:r w:rsidR="002855B2">
          <w:rPr>
            <w:webHidden/>
          </w:rPr>
          <w:fldChar w:fldCharType="end"/>
        </w:r>
      </w:hyperlink>
    </w:p>
    <w:p w14:paraId="02752B3A" w14:textId="77777777" w:rsidR="002855B2" w:rsidRDefault="0032253D">
      <w:pPr>
        <w:pStyle w:val="TOC2"/>
        <w:rPr>
          <w:rFonts w:asciiTheme="minorHAnsi" w:eastAsiaTheme="minorEastAsia" w:hAnsiTheme="minorHAnsi" w:cstheme="minorBidi"/>
        </w:rPr>
      </w:pPr>
      <w:hyperlink w:anchor="_Toc506368279" w:history="1">
        <w:r w:rsidR="002855B2" w:rsidRPr="00E9711B">
          <w:rPr>
            <w:rStyle w:val="Hyperlink"/>
          </w:rPr>
          <w:t>4.4.</w:t>
        </w:r>
        <w:r w:rsidR="002855B2">
          <w:rPr>
            <w:rFonts w:asciiTheme="minorHAnsi" w:eastAsiaTheme="minorEastAsia" w:hAnsiTheme="minorHAnsi" w:cstheme="minorBidi"/>
          </w:rPr>
          <w:tab/>
        </w:r>
        <w:r w:rsidR="002855B2" w:rsidRPr="00E9711B">
          <w:rPr>
            <w:rStyle w:val="Hyperlink"/>
          </w:rPr>
          <w:t>Buttons &amp; Menu Items</w:t>
        </w:r>
        <w:r w:rsidR="002855B2">
          <w:rPr>
            <w:webHidden/>
          </w:rPr>
          <w:tab/>
        </w:r>
        <w:r w:rsidR="002855B2">
          <w:rPr>
            <w:webHidden/>
          </w:rPr>
          <w:fldChar w:fldCharType="begin"/>
        </w:r>
        <w:r w:rsidR="002855B2">
          <w:rPr>
            <w:webHidden/>
          </w:rPr>
          <w:instrText xml:space="preserve"> PAGEREF _Toc506368279 \h </w:instrText>
        </w:r>
        <w:r w:rsidR="002855B2">
          <w:rPr>
            <w:webHidden/>
          </w:rPr>
        </w:r>
        <w:r w:rsidR="002855B2">
          <w:rPr>
            <w:webHidden/>
          </w:rPr>
          <w:fldChar w:fldCharType="separate"/>
        </w:r>
        <w:r w:rsidR="002855B2">
          <w:rPr>
            <w:webHidden/>
          </w:rPr>
          <w:t>17</w:t>
        </w:r>
        <w:r w:rsidR="002855B2">
          <w:rPr>
            <w:webHidden/>
          </w:rPr>
          <w:fldChar w:fldCharType="end"/>
        </w:r>
      </w:hyperlink>
    </w:p>
    <w:p w14:paraId="6407FD2D" w14:textId="77777777" w:rsidR="002855B2" w:rsidRDefault="0032253D">
      <w:pPr>
        <w:pStyle w:val="TOC2"/>
        <w:rPr>
          <w:rFonts w:asciiTheme="minorHAnsi" w:eastAsiaTheme="minorEastAsia" w:hAnsiTheme="minorHAnsi" w:cstheme="minorBidi"/>
        </w:rPr>
      </w:pPr>
      <w:hyperlink w:anchor="_Toc506368280" w:history="1">
        <w:r w:rsidR="002855B2" w:rsidRPr="00E9711B">
          <w:rPr>
            <w:rStyle w:val="Hyperlink"/>
          </w:rPr>
          <w:t>4.5.</w:t>
        </w:r>
        <w:r w:rsidR="002855B2">
          <w:rPr>
            <w:rFonts w:asciiTheme="minorHAnsi" w:eastAsiaTheme="minorEastAsia" w:hAnsiTheme="minorHAnsi" w:cstheme="minorBidi"/>
          </w:rPr>
          <w:tab/>
        </w:r>
        <w:r w:rsidR="002855B2" w:rsidRPr="00E9711B">
          <w:rPr>
            <w:rStyle w:val="Hyperlink"/>
          </w:rPr>
          <w:t>How to Reassign Patient Orders</w:t>
        </w:r>
        <w:r w:rsidR="002855B2">
          <w:rPr>
            <w:webHidden/>
          </w:rPr>
          <w:tab/>
        </w:r>
        <w:r w:rsidR="002855B2">
          <w:rPr>
            <w:webHidden/>
          </w:rPr>
          <w:fldChar w:fldCharType="begin"/>
        </w:r>
        <w:r w:rsidR="002855B2">
          <w:rPr>
            <w:webHidden/>
          </w:rPr>
          <w:instrText xml:space="preserve"> PAGEREF _Toc506368280 \h </w:instrText>
        </w:r>
        <w:r w:rsidR="002855B2">
          <w:rPr>
            <w:webHidden/>
          </w:rPr>
        </w:r>
        <w:r w:rsidR="002855B2">
          <w:rPr>
            <w:webHidden/>
          </w:rPr>
          <w:fldChar w:fldCharType="separate"/>
        </w:r>
        <w:r w:rsidR="002855B2">
          <w:rPr>
            <w:webHidden/>
          </w:rPr>
          <w:t>17</w:t>
        </w:r>
        <w:r w:rsidR="002855B2">
          <w:rPr>
            <w:webHidden/>
          </w:rPr>
          <w:fldChar w:fldCharType="end"/>
        </w:r>
      </w:hyperlink>
    </w:p>
    <w:p w14:paraId="21888E87" w14:textId="77777777" w:rsidR="002855B2" w:rsidRDefault="0032253D">
      <w:pPr>
        <w:pStyle w:val="TOC2"/>
        <w:rPr>
          <w:rFonts w:asciiTheme="minorHAnsi" w:eastAsiaTheme="minorEastAsia" w:hAnsiTheme="minorHAnsi" w:cstheme="minorBidi"/>
        </w:rPr>
      </w:pPr>
      <w:hyperlink w:anchor="_Toc506368281" w:history="1">
        <w:r w:rsidR="002855B2" w:rsidRPr="00E9711B">
          <w:rPr>
            <w:rStyle w:val="Hyperlink"/>
          </w:rPr>
          <w:t>4.6.</w:t>
        </w:r>
        <w:r w:rsidR="002855B2">
          <w:rPr>
            <w:rFonts w:asciiTheme="minorHAnsi" w:eastAsiaTheme="minorEastAsia" w:hAnsiTheme="minorHAnsi" w:cstheme="minorBidi"/>
          </w:rPr>
          <w:tab/>
        </w:r>
        <w:r w:rsidR="002855B2" w:rsidRPr="00E9711B">
          <w:rPr>
            <w:rStyle w:val="Hyperlink"/>
          </w:rPr>
          <w:t>Select Provider</w:t>
        </w:r>
        <w:r w:rsidR="002855B2">
          <w:rPr>
            <w:webHidden/>
          </w:rPr>
          <w:tab/>
        </w:r>
        <w:r w:rsidR="002855B2">
          <w:rPr>
            <w:webHidden/>
          </w:rPr>
          <w:fldChar w:fldCharType="begin"/>
        </w:r>
        <w:r w:rsidR="002855B2">
          <w:rPr>
            <w:webHidden/>
          </w:rPr>
          <w:instrText xml:space="preserve"> PAGEREF _Toc506368281 \h </w:instrText>
        </w:r>
        <w:r w:rsidR="002855B2">
          <w:rPr>
            <w:webHidden/>
          </w:rPr>
        </w:r>
        <w:r w:rsidR="002855B2">
          <w:rPr>
            <w:webHidden/>
          </w:rPr>
          <w:fldChar w:fldCharType="separate"/>
        </w:r>
        <w:r w:rsidR="002855B2">
          <w:rPr>
            <w:webHidden/>
          </w:rPr>
          <w:t>18</w:t>
        </w:r>
        <w:r w:rsidR="002855B2">
          <w:rPr>
            <w:webHidden/>
          </w:rPr>
          <w:fldChar w:fldCharType="end"/>
        </w:r>
      </w:hyperlink>
    </w:p>
    <w:p w14:paraId="0ED0A018" w14:textId="77777777" w:rsidR="002855B2" w:rsidRDefault="0032253D">
      <w:pPr>
        <w:pStyle w:val="TOC3"/>
        <w:rPr>
          <w:rFonts w:asciiTheme="minorHAnsi" w:eastAsiaTheme="minorEastAsia" w:hAnsiTheme="minorHAnsi" w:cstheme="minorBidi"/>
        </w:rPr>
      </w:pPr>
      <w:hyperlink w:anchor="_Toc506368282" w:history="1">
        <w:r w:rsidR="002855B2" w:rsidRPr="00E9711B">
          <w:rPr>
            <w:rStyle w:val="Hyperlink"/>
          </w:rPr>
          <w:t>4.6.1.</w:t>
        </w:r>
        <w:r w:rsidR="002855B2">
          <w:rPr>
            <w:rFonts w:asciiTheme="minorHAnsi" w:eastAsiaTheme="minorEastAsia" w:hAnsiTheme="minorHAnsi" w:cstheme="minorBidi"/>
          </w:rPr>
          <w:tab/>
        </w:r>
        <w:r w:rsidR="002855B2" w:rsidRPr="00E9711B">
          <w:rPr>
            <w:rStyle w:val="Hyperlink"/>
          </w:rPr>
          <w:t xml:space="preserve">Select a </w:t>
        </w:r>
        <w:r w:rsidR="002855B2" w:rsidRPr="00E9711B">
          <w:rPr>
            <w:rStyle w:val="Hyperlink"/>
            <w:i/>
          </w:rPr>
          <w:t>Current</w:t>
        </w:r>
        <w:r w:rsidR="002855B2" w:rsidRPr="00E9711B">
          <w:rPr>
            <w:rStyle w:val="Hyperlink"/>
          </w:rPr>
          <w:t xml:space="preserve"> Provider and Order Date Range</w:t>
        </w:r>
        <w:r w:rsidR="002855B2">
          <w:rPr>
            <w:webHidden/>
          </w:rPr>
          <w:tab/>
        </w:r>
        <w:r w:rsidR="002855B2">
          <w:rPr>
            <w:webHidden/>
          </w:rPr>
          <w:fldChar w:fldCharType="begin"/>
        </w:r>
        <w:r w:rsidR="002855B2">
          <w:rPr>
            <w:webHidden/>
          </w:rPr>
          <w:instrText xml:space="preserve"> PAGEREF _Toc506368282 \h </w:instrText>
        </w:r>
        <w:r w:rsidR="002855B2">
          <w:rPr>
            <w:webHidden/>
          </w:rPr>
        </w:r>
        <w:r w:rsidR="002855B2">
          <w:rPr>
            <w:webHidden/>
          </w:rPr>
          <w:fldChar w:fldCharType="separate"/>
        </w:r>
        <w:r w:rsidR="002855B2">
          <w:rPr>
            <w:webHidden/>
          </w:rPr>
          <w:t>18</w:t>
        </w:r>
        <w:r w:rsidR="002855B2">
          <w:rPr>
            <w:webHidden/>
          </w:rPr>
          <w:fldChar w:fldCharType="end"/>
        </w:r>
      </w:hyperlink>
    </w:p>
    <w:p w14:paraId="749A8465" w14:textId="77777777" w:rsidR="002855B2" w:rsidRDefault="0032253D">
      <w:pPr>
        <w:pStyle w:val="TOC3"/>
        <w:rPr>
          <w:rFonts w:asciiTheme="minorHAnsi" w:eastAsiaTheme="minorEastAsia" w:hAnsiTheme="minorHAnsi" w:cstheme="minorBidi"/>
        </w:rPr>
      </w:pPr>
      <w:hyperlink w:anchor="_Toc506368283" w:history="1">
        <w:r w:rsidR="002855B2" w:rsidRPr="00E9711B">
          <w:rPr>
            <w:rStyle w:val="Hyperlink"/>
          </w:rPr>
          <w:t>4.6.2.</w:t>
        </w:r>
        <w:r w:rsidR="002855B2">
          <w:rPr>
            <w:rFonts w:asciiTheme="minorHAnsi" w:eastAsiaTheme="minorEastAsia" w:hAnsiTheme="minorHAnsi" w:cstheme="minorBidi"/>
          </w:rPr>
          <w:tab/>
        </w:r>
        <w:r w:rsidR="002855B2" w:rsidRPr="00E9711B">
          <w:rPr>
            <w:rStyle w:val="Hyperlink"/>
          </w:rPr>
          <w:t xml:space="preserve">Select a </w:t>
        </w:r>
        <w:r w:rsidR="002855B2" w:rsidRPr="00E9711B">
          <w:rPr>
            <w:rStyle w:val="Hyperlink"/>
            <w:i/>
          </w:rPr>
          <w:t>New</w:t>
        </w:r>
        <w:r w:rsidR="002855B2" w:rsidRPr="00E9711B">
          <w:rPr>
            <w:rStyle w:val="Hyperlink"/>
          </w:rPr>
          <w:t xml:space="preserve"> Provider</w:t>
        </w:r>
        <w:r w:rsidR="002855B2">
          <w:rPr>
            <w:webHidden/>
          </w:rPr>
          <w:tab/>
        </w:r>
        <w:r w:rsidR="002855B2">
          <w:rPr>
            <w:webHidden/>
          </w:rPr>
          <w:fldChar w:fldCharType="begin"/>
        </w:r>
        <w:r w:rsidR="002855B2">
          <w:rPr>
            <w:webHidden/>
          </w:rPr>
          <w:instrText xml:space="preserve"> PAGEREF _Toc506368283 \h </w:instrText>
        </w:r>
        <w:r w:rsidR="002855B2">
          <w:rPr>
            <w:webHidden/>
          </w:rPr>
        </w:r>
        <w:r w:rsidR="002855B2">
          <w:rPr>
            <w:webHidden/>
          </w:rPr>
          <w:fldChar w:fldCharType="separate"/>
        </w:r>
        <w:r w:rsidR="002855B2">
          <w:rPr>
            <w:webHidden/>
          </w:rPr>
          <w:t>19</w:t>
        </w:r>
        <w:r w:rsidR="002855B2">
          <w:rPr>
            <w:webHidden/>
          </w:rPr>
          <w:fldChar w:fldCharType="end"/>
        </w:r>
      </w:hyperlink>
    </w:p>
    <w:p w14:paraId="66D60210" w14:textId="77777777" w:rsidR="002855B2" w:rsidRDefault="0032253D">
      <w:pPr>
        <w:pStyle w:val="TOC2"/>
        <w:rPr>
          <w:rFonts w:asciiTheme="minorHAnsi" w:eastAsiaTheme="minorEastAsia" w:hAnsiTheme="minorHAnsi" w:cstheme="minorBidi"/>
        </w:rPr>
      </w:pPr>
      <w:hyperlink w:anchor="_Toc506368284" w:history="1">
        <w:r w:rsidR="002855B2" w:rsidRPr="00E9711B">
          <w:rPr>
            <w:rStyle w:val="Hyperlink"/>
          </w:rPr>
          <w:t>4.7.</w:t>
        </w:r>
        <w:r w:rsidR="002855B2">
          <w:rPr>
            <w:rFonts w:asciiTheme="minorHAnsi" w:eastAsiaTheme="minorEastAsia" w:hAnsiTheme="minorHAnsi" w:cstheme="minorBidi"/>
          </w:rPr>
          <w:tab/>
        </w:r>
        <w:r w:rsidR="002855B2" w:rsidRPr="00E9711B">
          <w:rPr>
            <w:rStyle w:val="Hyperlink"/>
          </w:rPr>
          <w:t>Viewing Order Details</w:t>
        </w:r>
        <w:r w:rsidR="002855B2">
          <w:rPr>
            <w:webHidden/>
          </w:rPr>
          <w:tab/>
        </w:r>
        <w:r w:rsidR="002855B2">
          <w:rPr>
            <w:webHidden/>
          </w:rPr>
          <w:fldChar w:fldCharType="begin"/>
        </w:r>
        <w:r w:rsidR="002855B2">
          <w:rPr>
            <w:webHidden/>
          </w:rPr>
          <w:instrText xml:space="preserve"> PAGEREF _Toc506368284 \h </w:instrText>
        </w:r>
        <w:r w:rsidR="002855B2">
          <w:rPr>
            <w:webHidden/>
          </w:rPr>
        </w:r>
        <w:r w:rsidR="002855B2">
          <w:rPr>
            <w:webHidden/>
          </w:rPr>
          <w:fldChar w:fldCharType="separate"/>
        </w:r>
        <w:r w:rsidR="002855B2">
          <w:rPr>
            <w:webHidden/>
          </w:rPr>
          <w:t>21</w:t>
        </w:r>
        <w:r w:rsidR="002855B2">
          <w:rPr>
            <w:webHidden/>
          </w:rPr>
          <w:fldChar w:fldCharType="end"/>
        </w:r>
      </w:hyperlink>
    </w:p>
    <w:p w14:paraId="3B1A04E4" w14:textId="77777777" w:rsidR="002855B2" w:rsidRDefault="0032253D">
      <w:pPr>
        <w:pStyle w:val="TOC2"/>
        <w:rPr>
          <w:rFonts w:asciiTheme="minorHAnsi" w:eastAsiaTheme="minorEastAsia" w:hAnsiTheme="minorHAnsi" w:cstheme="minorBidi"/>
        </w:rPr>
      </w:pPr>
      <w:hyperlink w:anchor="_Toc506368285" w:history="1">
        <w:r w:rsidR="002855B2" w:rsidRPr="00E9711B">
          <w:rPr>
            <w:rStyle w:val="Hyperlink"/>
          </w:rPr>
          <w:t>4.8.</w:t>
        </w:r>
        <w:r w:rsidR="002855B2">
          <w:rPr>
            <w:rFonts w:asciiTheme="minorHAnsi" w:eastAsiaTheme="minorEastAsia" w:hAnsiTheme="minorHAnsi" w:cstheme="minorBidi"/>
          </w:rPr>
          <w:tab/>
        </w:r>
        <w:r w:rsidR="002855B2" w:rsidRPr="00E9711B">
          <w:rPr>
            <w:rStyle w:val="Hyperlink"/>
          </w:rPr>
          <w:t>Reassign Orders</w:t>
        </w:r>
        <w:r w:rsidR="002855B2">
          <w:rPr>
            <w:webHidden/>
          </w:rPr>
          <w:tab/>
        </w:r>
        <w:r w:rsidR="002855B2">
          <w:rPr>
            <w:webHidden/>
          </w:rPr>
          <w:fldChar w:fldCharType="begin"/>
        </w:r>
        <w:r w:rsidR="002855B2">
          <w:rPr>
            <w:webHidden/>
          </w:rPr>
          <w:instrText xml:space="preserve"> PAGEREF _Toc506368285 \h </w:instrText>
        </w:r>
        <w:r w:rsidR="002855B2">
          <w:rPr>
            <w:webHidden/>
          </w:rPr>
        </w:r>
        <w:r w:rsidR="002855B2">
          <w:rPr>
            <w:webHidden/>
          </w:rPr>
          <w:fldChar w:fldCharType="separate"/>
        </w:r>
        <w:r w:rsidR="002855B2">
          <w:rPr>
            <w:webHidden/>
          </w:rPr>
          <w:t>22</w:t>
        </w:r>
        <w:r w:rsidR="002855B2">
          <w:rPr>
            <w:webHidden/>
          </w:rPr>
          <w:fldChar w:fldCharType="end"/>
        </w:r>
      </w:hyperlink>
    </w:p>
    <w:p w14:paraId="703A79F0" w14:textId="77777777" w:rsidR="002855B2" w:rsidRDefault="0032253D">
      <w:pPr>
        <w:pStyle w:val="TOC1"/>
        <w:rPr>
          <w:rFonts w:asciiTheme="minorHAnsi" w:eastAsiaTheme="minorEastAsia" w:hAnsiTheme="minorHAnsi" w:cstheme="minorBidi"/>
          <w:b w:val="0"/>
        </w:rPr>
      </w:pPr>
      <w:hyperlink w:anchor="_Toc506368286" w:history="1">
        <w:r w:rsidR="002855B2" w:rsidRPr="00E9711B">
          <w:rPr>
            <w:rStyle w:val="Hyperlink"/>
          </w:rPr>
          <w:t>5.</w:t>
        </w:r>
        <w:r w:rsidR="002855B2">
          <w:rPr>
            <w:rFonts w:asciiTheme="minorHAnsi" w:eastAsiaTheme="minorEastAsia" w:hAnsiTheme="minorHAnsi" w:cstheme="minorBidi"/>
            <w:b w:val="0"/>
          </w:rPr>
          <w:tab/>
        </w:r>
        <w:r w:rsidR="002855B2" w:rsidRPr="00E9711B">
          <w:rPr>
            <w:rStyle w:val="Hyperlink"/>
          </w:rPr>
          <w:t>Troubleshooting</w:t>
        </w:r>
        <w:r w:rsidR="002855B2">
          <w:rPr>
            <w:webHidden/>
          </w:rPr>
          <w:tab/>
        </w:r>
        <w:r w:rsidR="002855B2">
          <w:rPr>
            <w:webHidden/>
          </w:rPr>
          <w:fldChar w:fldCharType="begin"/>
        </w:r>
        <w:r w:rsidR="002855B2">
          <w:rPr>
            <w:webHidden/>
          </w:rPr>
          <w:instrText xml:space="preserve"> PAGEREF _Toc506368286 \h </w:instrText>
        </w:r>
        <w:r w:rsidR="002855B2">
          <w:rPr>
            <w:webHidden/>
          </w:rPr>
        </w:r>
        <w:r w:rsidR="002855B2">
          <w:rPr>
            <w:webHidden/>
          </w:rPr>
          <w:fldChar w:fldCharType="separate"/>
        </w:r>
        <w:r w:rsidR="002855B2">
          <w:rPr>
            <w:webHidden/>
          </w:rPr>
          <w:t>24</w:t>
        </w:r>
        <w:r w:rsidR="002855B2">
          <w:rPr>
            <w:webHidden/>
          </w:rPr>
          <w:fldChar w:fldCharType="end"/>
        </w:r>
      </w:hyperlink>
    </w:p>
    <w:p w14:paraId="0E64E799" w14:textId="77777777" w:rsidR="002855B2" w:rsidRDefault="0032253D">
      <w:pPr>
        <w:pStyle w:val="TOC2"/>
        <w:rPr>
          <w:rFonts w:asciiTheme="minorHAnsi" w:eastAsiaTheme="minorEastAsia" w:hAnsiTheme="minorHAnsi" w:cstheme="minorBidi"/>
        </w:rPr>
      </w:pPr>
      <w:hyperlink w:anchor="_Toc506368287" w:history="1">
        <w:r w:rsidR="002855B2" w:rsidRPr="00E9711B">
          <w:rPr>
            <w:rStyle w:val="Hyperlink"/>
          </w:rPr>
          <w:t>5.1.</w:t>
        </w:r>
        <w:r w:rsidR="002855B2">
          <w:rPr>
            <w:rFonts w:asciiTheme="minorHAnsi" w:eastAsiaTheme="minorEastAsia" w:hAnsiTheme="minorHAnsi" w:cstheme="minorBidi"/>
          </w:rPr>
          <w:tab/>
        </w:r>
        <w:r w:rsidR="002855B2" w:rsidRPr="00E9711B">
          <w:rPr>
            <w:rStyle w:val="Hyperlink"/>
          </w:rPr>
          <w:t>Special Instructions for Error Correction</w:t>
        </w:r>
        <w:r w:rsidR="002855B2">
          <w:rPr>
            <w:webHidden/>
          </w:rPr>
          <w:tab/>
        </w:r>
        <w:r w:rsidR="002855B2">
          <w:rPr>
            <w:webHidden/>
          </w:rPr>
          <w:fldChar w:fldCharType="begin"/>
        </w:r>
        <w:r w:rsidR="002855B2">
          <w:rPr>
            <w:webHidden/>
          </w:rPr>
          <w:instrText xml:space="preserve"> PAGEREF _Toc506368287 \h </w:instrText>
        </w:r>
        <w:r w:rsidR="002855B2">
          <w:rPr>
            <w:webHidden/>
          </w:rPr>
        </w:r>
        <w:r w:rsidR="002855B2">
          <w:rPr>
            <w:webHidden/>
          </w:rPr>
          <w:fldChar w:fldCharType="separate"/>
        </w:r>
        <w:r w:rsidR="002855B2">
          <w:rPr>
            <w:webHidden/>
          </w:rPr>
          <w:t>24</w:t>
        </w:r>
        <w:r w:rsidR="002855B2">
          <w:rPr>
            <w:webHidden/>
          </w:rPr>
          <w:fldChar w:fldCharType="end"/>
        </w:r>
      </w:hyperlink>
    </w:p>
    <w:p w14:paraId="5015925A" w14:textId="77777777" w:rsidR="002855B2" w:rsidRDefault="0032253D">
      <w:pPr>
        <w:pStyle w:val="TOC1"/>
        <w:rPr>
          <w:rFonts w:asciiTheme="minorHAnsi" w:eastAsiaTheme="minorEastAsia" w:hAnsiTheme="minorHAnsi" w:cstheme="minorBidi"/>
          <w:b w:val="0"/>
        </w:rPr>
      </w:pPr>
      <w:hyperlink w:anchor="_Toc506368288" w:history="1">
        <w:r w:rsidR="002855B2" w:rsidRPr="00E9711B">
          <w:rPr>
            <w:rStyle w:val="Hyperlink"/>
          </w:rPr>
          <w:t>6.</w:t>
        </w:r>
        <w:r w:rsidR="002855B2">
          <w:rPr>
            <w:rFonts w:asciiTheme="minorHAnsi" w:eastAsiaTheme="minorEastAsia" w:hAnsiTheme="minorHAnsi" w:cstheme="minorBidi"/>
            <w:b w:val="0"/>
          </w:rPr>
          <w:tab/>
        </w:r>
        <w:r w:rsidR="002855B2" w:rsidRPr="00E9711B">
          <w:rPr>
            <w:rStyle w:val="Hyperlink"/>
          </w:rPr>
          <w:t>Acronyms and Abbreviations</w:t>
        </w:r>
        <w:r w:rsidR="002855B2">
          <w:rPr>
            <w:webHidden/>
          </w:rPr>
          <w:tab/>
        </w:r>
        <w:r w:rsidR="002855B2">
          <w:rPr>
            <w:webHidden/>
          </w:rPr>
          <w:fldChar w:fldCharType="begin"/>
        </w:r>
        <w:r w:rsidR="002855B2">
          <w:rPr>
            <w:webHidden/>
          </w:rPr>
          <w:instrText xml:space="preserve"> PAGEREF _Toc506368288 \h </w:instrText>
        </w:r>
        <w:r w:rsidR="002855B2">
          <w:rPr>
            <w:webHidden/>
          </w:rPr>
        </w:r>
        <w:r w:rsidR="002855B2">
          <w:rPr>
            <w:webHidden/>
          </w:rPr>
          <w:fldChar w:fldCharType="separate"/>
        </w:r>
        <w:r w:rsidR="002855B2">
          <w:rPr>
            <w:webHidden/>
          </w:rPr>
          <w:t>24</w:t>
        </w:r>
        <w:r w:rsidR="002855B2">
          <w:rPr>
            <w:webHidden/>
          </w:rPr>
          <w:fldChar w:fldCharType="end"/>
        </w:r>
      </w:hyperlink>
    </w:p>
    <w:p w14:paraId="669C6241" w14:textId="77777777" w:rsidR="002855B2" w:rsidRDefault="0032253D">
      <w:pPr>
        <w:pStyle w:val="TOC1"/>
        <w:rPr>
          <w:rFonts w:asciiTheme="minorHAnsi" w:eastAsiaTheme="minorEastAsia" w:hAnsiTheme="minorHAnsi" w:cstheme="minorBidi"/>
          <w:b w:val="0"/>
        </w:rPr>
      </w:pPr>
      <w:hyperlink w:anchor="_Toc506368289" w:history="1">
        <w:r w:rsidR="002855B2" w:rsidRPr="00E9711B">
          <w:rPr>
            <w:rStyle w:val="Hyperlink"/>
          </w:rPr>
          <w:t>7.</w:t>
        </w:r>
        <w:r w:rsidR="002855B2">
          <w:rPr>
            <w:rFonts w:asciiTheme="minorHAnsi" w:eastAsiaTheme="minorEastAsia" w:hAnsiTheme="minorHAnsi" w:cstheme="minorBidi"/>
            <w:b w:val="0"/>
          </w:rPr>
          <w:tab/>
        </w:r>
        <w:r w:rsidR="002855B2" w:rsidRPr="00E9711B">
          <w:rPr>
            <w:rStyle w:val="Hyperlink"/>
          </w:rPr>
          <w:t>Appendix</w:t>
        </w:r>
        <w:r w:rsidR="002855B2">
          <w:rPr>
            <w:webHidden/>
          </w:rPr>
          <w:tab/>
        </w:r>
        <w:r w:rsidR="002855B2">
          <w:rPr>
            <w:webHidden/>
          </w:rPr>
          <w:fldChar w:fldCharType="begin"/>
        </w:r>
        <w:r w:rsidR="002855B2">
          <w:rPr>
            <w:webHidden/>
          </w:rPr>
          <w:instrText xml:space="preserve"> PAGEREF _Toc506368289 \h </w:instrText>
        </w:r>
        <w:r w:rsidR="002855B2">
          <w:rPr>
            <w:webHidden/>
          </w:rPr>
        </w:r>
        <w:r w:rsidR="002855B2">
          <w:rPr>
            <w:webHidden/>
          </w:rPr>
          <w:fldChar w:fldCharType="separate"/>
        </w:r>
        <w:r w:rsidR="002855B2">
          <w:rPr>
            <w:webHidden/>
          </w:rPr>
          <w:t>24</w:t>
        </w:r>
        <w:r w:rsidR="002855B2">
          <w:rPr>
            <w:webHidden/>
          </w:rPr>
          <w:fldChar w:fldCharType="end"/>
        </w:r>
      </w:hyperlink>
    </w:p>
    <w:p w14:paraId="18725678" w14:textId="77777777" w:rsidR="002855B2" w:rsidRDefault="0032253D">
      <w:pPr>
        <w:pStyle w:val="TOC1"/>
        <w:rPr>
          <w:rFonts w:asciiTheme="minorHAnsi" w:eastAsiaTheme="minorEastAsia" w:hAnsiTheme="minorHAnsi" w:cstheme="minorBidi"/>
          <w:b w:val="0"/>
        </w:rPr>
      </w:pPr>
      <w:hyperlink w:anchor="_Toc506368290" w:history="1">
        <w:r w:rsidR="002855B2" w:rsidRPr="00E9711B">
          <w:rPr>
            <w:rStyle w:val="Hyperlink"/>
          </w:rPr>
          <w:t>8.</w:t>
        </w:r>
        <w:r w:rsidR="002855B2">
          <w:rPr>
            <w:rFonts w:asciiTheme="minorHAnsi" w:eastAsiaTheme="minorEastAsia" w:hAnsiTheme="minorHAnsi" w:cstheme="minorBidi"/>
            <w:b w:val="0"/>
          </w:rPr>
          <w:tab/>
        </w:r>
        <w:r w:rsidR="002855B2" w:rsidRPr="00E9711B">
          <w:rPr>
            <w:rStyle w:val="Hyperlink"/>
          </w:rPr>
          <w:t>Index</w:t>
        </w:r>
        <w:r w:rsidR="002855B2">
          <w:rPr>
            <w:webHidden/>
          </w:rPr>
          <w:tab/>
        </w:r>
        <w:r w:rsidR="002855B2">
          <w:rPr>
            <w:webHidden/>
          </w:rPr>
          <w:fldChar w:fldCharType="begin"/>
        </w:r>
        <w:r w:rsidR="002855B2">
          <w:rPr>
            <w:webHidden/>
          </w:rPr>
          <w:instrText xml:space="preserve"> PAGEREF _Toc506368290 \h </w:instrText>
        </w:r>
        <w:r w:rsidR="002855B2">
          <w:rPr>
            <w:webHidden/>
          </w:rPr>
        </w:r>
        <w:r w:rsidR="002855B2">
          <w:rPr>
            <w:webHidden/>
          </w:rPr>
          <w:fldChar w:fldCharType="separate"/>
        </w:r>
        <w:r w:rsidR="002855B2">
          <w:rPr>
            <w:webHidden/>
          </w:rPr>
          <w:t>24</w:t>
        </w:r>
        <w:r w:rsidR="002855B2">
          <w:rPr>
            <w:webHidden/>
          </w:rPr>
          <w:fldChar w:fldCharType="end"/>
        </w:r>
      </w:hyperlink>
    </w:p>
    <w:p w14:paraId="5BA05894" w14:textId="77777777" w:rsidR="007F4281" w:rsidRDefault="00AF1D4B" w:rsidP="004D2A64">
      <w:pPr>
        <w:pStyle w:val="Title2"/>
      </w:pPr>
      <w:r>
        <w:rPr>
          <w:bCs w:val="0"/>
          <w:szCs w:val="20"/>
        </w:rPr>
        <w:fldChar w:fldCharType="end"/>
      </w:r>
      <w:r w:rsidR="007F4281">
        <w:br w:type="page"/>
      </w:r>
    </w:p>
    <w:p w14:paraId="5BA05895" w14:textId="73045CB4" w:rsidR="0005076D" w:rsidRPr="00040EA7" w:rsidRDefault="00040EA7" w:rsidP="0005076D">
      <w:pPr>
        <w:pStyle w:val="InstructionalText1"/>
        <w:rPr>
          <w:u w:val="single"/>
        </w:rPr>
      </w:pPr>
      <w:r w:rsidRPr="00040EA7">
        <w:rPr>
          <w:u w:val="single"/>
        </w:rPr>
        <w:lastRenderedPageBreak/>
        <w:t>Instructions</w:t>
      </w:r>
      <w:r>
        <w:rPr>
          <w:u w:val="single"/>
        </w:rPr>
        <w:t xml:space="preserve"> f</w:t>
      </w:r>
      <w:r w:rsidRPr="00040EA7">
        <w:rPr>
          <w:u w:val="single"/>
        </w:rPr>
        <w:t xml:space="preserve">or Table </w:t>
      </w:r>
      <w:r w:rsidR="00EC5C0E" w:rsidRPr="00040EA7">
        <w:rPr>
          <w:u w:val="single"/>
        </w:rPr>
        <w:t>of</w:t>
      </w:r>
      <w:r w:rsidRPr="00040EA7">
        <w:rPr>
          <w:u w:val="single"/>
        </w:rPr>
        <w:t xml:space="preserve"> Contents</w:t>
      </w:r>
      <w:r w:rsidR="00E16BFA">
        <w:rPr>
          <w:u w:val="single"/>
        </w:rPr>
        <w:t>, Figures, and Tables</w:t>
      </w:r>
      <w:r w:rsidRPr="00040EA7">
        <w:rPr>
          <w:u w:val="single"/>
        </w:rPr>
        <w:t>:</w:t>
      </w:r>
    </w:p>
    <w:p w14:paraId="5BA05896" w14:textId="77777777" w:rsidR="004D2A64" w:rsidRPr="008E4C04" w:rsidRDefault="004D2A64" w:rsidP="003732A1">
      <w:pPr>
        <w:pStyle w:val="InstructionalText1"/>
      </w:pPr>
      <w:r w:rsidRPr="008E4C04">
        <w:t>List of Figures and List of Tables</w:t>
      </w:r>
    </w:p>
    <w:p w14:paraId="5BA05897" w14:textId="77777777" w:rsidR="004D2A64" w:rsidRDefault="004D2A64" w:rsidP="008B3E7B">
      <w:pPr>
        <w:pStyle w:val="InstructionalText1"/>
      </w:pPr>
      <w:r w:rsidRPr="008E4C04">
        <w:t>In documents with five or more figures and/or tables, provide a separate list of figures and a separate list of tables.</w:t>
      </w:r>
    </w:p>
    <w:p w14:paraId="5BA05898" w14:textId="77777777" w:rsidR="00E83A70" w:rsidRPr="00E83A70" w:rsidRDefault="00E83A70" w:rsidP="008B3E7B">
      <w:pPr>
        <w:pStyle w:val="InstructionalText1"/>
      </w:pPr>
      <w:r>
        <w:t xml:space="preserve">NOTE: Table of Contents, List of Figures, and List of Tables should be generated using </w:t>
      </w:r>
      <w:r w:rsidR="0005076D">
        <w:t>MS-</w:t>
      </w:r>
      <w:r>
        <w:t>Word commands, not manually created, so that page numbers can be updated programmatically.</w:t>
      </w:r>
    </w:p>
    <w:p w14:paraId="5BA05899" w14:textId="77777777" w:rsidR="004D2A64" w:rsidRPr="004047F3" w:rsidRDefault="004D2A64" w:rsidP="008E4C04">
      <w:pPr>
        <w:pStyle w:val="BodyText"/>
      </w:pPr>
    </w:p>
    <w:p w14:paraId="5BA0589A" w14:textId="77777777" w:rsidR="004D2A64" w:rsidRPr="004D2A64" w:rsidRDefault="004D2A64" w:rsidP="008E4C04">
      <w:pPr>
        <w:pStyle w:val="BodyText"/>
        <w:sectPr w:rsidR="004D2A64" w:rsidRPr="004D2A64" w:rsidSect="00DC1930">
          <w:footerReference w:type="default" r:id="rId8"/>
          <w:pgSz w:w="12240" w:h="15840" w:code="1"/>
          <w:pgMar w:top="1440" w:right="1440" w:bottom="1440" w:left="1440" w:header="720" w:footer="720" w:gutter="0"/>
          <w:pgNumType w:fmt="lowerRoman"/>
          <w:cols w:space="720"/>
          <w:docGrid w:linePitch="360"/>
        </w:sectPr>
      </w:pPr>
    </w:p>
    <w:bookmarkEnd w:id="0"/>
    <w:p w14:paraId="5BA0589B" w14:textId="77777777" w:rsidR="0005076D" w:rsidRPr="00040EA7" w:rsidRDefault="00040EA7" w:rsidP="0005076D">
      <w:pPr>
        <w:pStyle w:val="InstructionalText1"/>
        <w:rPr>
          <w:u w:val="single"/>
        </w:rPr>
      </w:pPr>
      <w:r w:rsidRPr="00040EA7">
        <w:rPr>
          <w:u w:val="single"/>
        </w:rPr>
        <w:lastRenderedPageBreak/>
        <w:t xml:space="preserve">Artifact </w:t>
      </w:r>
      <w:r w:rsidR="00EC7CD2">
        <w:rPr>
          <w:u w:val="single"/>
        </w:rPr>
        <w:t xml:space="preserve">Content </w:t>
      </w:r>
      <w:r w:rsidR="00E16BFA">
        <w:rPr>
          <w:u w:val="single"/>
        </w:rPr>
        <w:t>Guidance</w:t>
      </w:r>
    </w:p>
    <w:p w14:paraId="5BA0589C" w14:textId="77777777" w:rsidR="0005076D" w:rsidRPr="008871FC" w:rsidRDefault="0005076D" w:rsidP="0005076D">
      <w:pPr>
        <w:pStyle w:val="InstructionalText1"/>
      </w:pPr>
      <w:r w:rsidRPr="008871FC">
        <w:t>A User Guide is a required document if pertinent to your product. The project manager, as the authoritative source and in consultation with the technical writer, determines if a User Guide is a required artifact for the product.</w:t>
      </w:r>
    </w:p>
    <w:p w14:paraId="5BA0589D" w14:textId="77777777" w:rsidR="0005076D" w:rsidRPr="00A52D5B" w:rsidRDefault="0005076D" w:rsidP="0005076D">
      <w:pPr>
        <w:pStyle w:val="InstructionalText1"/>
      </w:pPr>
      <w:r w:rsidRPr="00A52D5B">
        <w:t>It is difficult to provide a users’ guide template that fits all situations since applications vary so much in what they allow users to do</w:t>
      </w:r>
      <w:r>
        <w:t xml:space="preserve">. </w:t>
      </w:r>
      <w:r w:rsidRPr="00A52D5B">
        <w:t xml:space="preserve">This template is put forth for the project manager or other writer to use in tailoring to the specific characteristics of the software and the project. </w:t>
      </w:r>
    </w:p>
    <w:p w14:paraId="5BA0589E" w14:textId="77777777" w:rsidR="0005076D" w:rsidRPr="008871FC" w:rsidRDefault="0005076D" w:rsidP="0005076D">
      <w:pPr>
        <w:pStyle w:val="InstructionalText1"/>
      </w:pPr>
      <w:r w:rsidRPr="008871FC">
        <w:t xml:space="preserve">User Guides for distinct audiences can either include separate sections in a user guide or separate documents specific to audience (e.g., nurses, pharmacists, technicians, developers, etc.). Some examples </w:t>
      </w:r>
      <w:r>
        <w:t xml:space="preserve">of separate, optional documents </w:t>
      </w:r>
      <w:r w:rsidRPr="008871FC">
        <w:t>might be:</w:t>
      </w:r>
    </w:p>
    <w:p w14:paraId="5BA0589F" w14:textId="77777777" w:rsidR="0005076D" w:rsidRPr="008871FC" w:rsidRDefault="0005076D" w:rsidP="0005076D">
      <w:pPr>
        <w:pStyle w:val="InstructionalBullet1"/>
      </w:pPr>
      <w:r w:rsidRPr="008871FC">
        <w:t>Developers Guide listing and detailing entry points and parameters related to the software’s Application Programming Interfaces (APIs), Remote Procedure Calls (RPCs), and other public interfaces. It can also include information on how to configure developer workstations/servers, troubleshoot and interpret exception messages, and use tools/utilities included in the application package, etc.</w:t>
      </w:r>
    </w:p>
    <w:p w14:paraId="5BA058A0" w14:textId="0F59882D" w:rsidR="0005076D" w:rsidRDefault="0005076D" w:rsidP="0005076D">
      <w:pPr>
        <w:pStyle w:val="InstructionalBullet1"/>
      </w:pPr>
      <w:r w:rsidRPr="008871FC">
        <w:t>Automated Data Processing Application Coordinators (ADPACs)</w:t>
      </w:r>
      <w:r w:rsidR="005E741C">
        <w:t xml:space="preserve"> guide, </w:t>
      </w:r>
      <w:r w:rsidR="005E741C" w:rsidRPr="008871FC">
        <w:t>outlining the processes</w:t>
      </w:r>
      <w:r w:rsidR="005E741C">
        <w:t>,</w:t>
      </w:r>
      <w:r w:rsidR="005E741C" w:rsidRPr="008871FC">
        <w:t xml:space="preserve"> functionality</w:t>
      </w:r>
      <w:r w:rsidR="005E741C">
        <w:t>, and points of coordination</w:t>
      </w:r>
      <w:r w:rsidR="004C5CB1">
        <w:t xml:space="preserve"> </w:t>
      </w:r>
      <w:r w:rsidR="005E741C">
        <w:t>specific to the role of an ADPAC</w:t>
      </w:r>
    </w:p>
    <w:p w14:paraId="5BA058A1" w14:textId="09655423" w:rsidR="005E741C" w:rsidRPr="008871FC" w:rsidRDefault="005E741C" w:rsidP="0005076D">
      <w:pPr>
        <w:pStyle w:val="InstructionalBullet1"/>
      </w:pPr>
      <w:r>
        <w:t xml:space="preserve">Clinical Application </w:t>
      </w:r>
      <w:r w:rsidRPr="008871FC">
        <w:t xml:space="preserve">Coordinators </w:t>
      </w:r>
      <w:r>
        <w:t xml:space="preserve">(CAC) guide, </w:t>
      </w:r>
      <w:r w:rsidRPr="008871FC">
        <w:t>outlining the processes</w:t>
      </w:r>
      <w:r>
        <w:t>,</w:t>
      </w:r>
      <w:r w:rsidRPr="008871FC">
        <w:t xml:space="preserve"> functionality</w:t>
      </w:r>
      <w:r>
        <w:t>, and points of coordination specific to the role of a C</w:t>
      </w:r>
      <w:r w:rsidRPr="008871FC">
        <w:t>AC</w:t>
      </w:r>
    </w:p>
    <w:p w14:paraId="5BA058A2" w14:textId="77777777" w:rsidR="0005076D" w:rsidRPr="0015557A" w:rsidRDefault="0005076D" w:rsidP="0005076D">
      <w:pPr>
        <w:pStyle w:val="InstructionalText1"/>
        <w:spacing w:before="120"/>
        <w:rPr>
          <w:b/>
        </w:rPr>
      </w:pPr>
      <w:r w:rsidRPr="0015557A">
        <w:rPr>
          <w:b/>
        </w:rPr>
        <w:t xml:space="preserve">ALERT: Delete </w:t>
      </w:r>
      <w:r w:rsidRPr="000A56B4">
        <w:rPr>
          <w:b/>
          <w:u w:val="single"/>
        </w:rPr>
        <w:t>all</w:t>
      </w:r>
      <w:r w:rsidRPr="0015557A">
        <w:rPr>
          <w:b/>
        </w:rPr>
        <w:t xml:space="preserve"> Instructional Text before publishing or distributing this document!</w:t>
      </w:r>
    </w:p>
    <w:p w14:paraId="5BA058A3" w14:textId="77777777" w:rsidR="004D2A64" w:rsidRPr="00AA618B" w:rsidRDefault="004D2A64" w:rsidP="00AA618B">
      <w:pPr>
        <w:pStyle w:val="Heading1"/>
      </w:pPr>
      <w:bookmarkStart w:id="3" w:name="_Toc506368248"/>
      <w:r w:rsidRPr="00AA618B">
        <w:t>Introduction</w:t>
      </w:r>
      <w:bookmarkEnd w:id="3"/>
    </w:p>
    <w:p w14:paraId="5BA058A4" w14:textId="77777777" w:rsidR="00080748" w:rsidRPr="00AA618B" w:rsidRDefault="00080748" w:rsidP="00AA618B">
      <w:pPr>
        <w:pStyle w:val="Heading2"/>
      </w:pPr>
      <w:bookmarkStart w:id="4" w:name="_Toc506368249"/>
      <w:r w:rsidRPr="00AA618B">
        <w:t>Purpose</w:t>
      </w:r>
      <w:bookmarkEnd w:id="4"/>
    </w:p>
    <w:p w14:paraId="7D1E9764" w14:textId="64FF8732" w:rsidR="00421C89" w:rsidRDefault="00471637" w:rsidP="00421C89">
      <w:pPr>
        <w:pStyle w:val="BodyText"/>
      </w:pPr>
      <w:r>
        <w:t xml:space="preserve">The purpose of this guide is to familiarize the user with the Provider Utilities </w:t>
      </w:r>
      <w:r w:rsidR="009720D0">
        <w:t>(sometimes called Provider Role Change) application that</w:t>
      </w:r>
      <w:r>
        <w:t xml:space="preserve"> enable</w:t>
      </w:r>
      <w:r w:rsidR="009720D0">
        <w:t>s</w:t>
      </w:r>
      <w:r>
        <w:t xml:space="preserve"> </w:t>
      </w:r>
      <w:r w:rsidR="009720D0">
        <w:t xml:space="preserve">providers to reassign responsibilities for </w:t>
      </w:r>
      <w:r w:rsidR="009720D0" w:rsidRPr="000E15E0">
        <w:rPr>
          <w:i/>
        </w:rPr>
        <w:t>qualifying patient orders</w:t>
      </w:r>
      <w:r w:rsidR="009720D0">
        <w:t xml:space="preserve"> from a current provid</w:t>
      </w:r>
      <w:r w:rsidR="00421C89">
        <w:t xml:space="preserve">er to one or more new providers, in the case where a provider changes roles while remaining at the same site (for example, a provider who moves from VA to DOD but does not relocate). The goal is for the current provider </w:t>
      </w:r>
      <w:r w:rsidR="00421C89" w:rsidRPr="000E15E0">
        <w:rPr>
          <w:i/>
        </w:rPr>
        <w:t>not</w:t>
      </w:r>
      <w:r w:rsidR="00421C89">
        <w:t xml:space="preserve"> to receive notifications for orders written in the previous role, while being able to receive notifications for orders written in the new role. So that previously created orders are not “lost”, they are redirected to the newly assigned providers. </w:t>
      </w:r>
    </w:p>
    <w:p w14:paraId="19A2C40D" w14:textId="664D5A71" w:rsidR="00421C89" w:rsidRDefault="00421C89" w:rsidP="00421C89">
      <w:pPr>
        <w:pStyle w:val="BodyText"/>
      </w:pPr>
      <w:r>
        <w:t>One way to think of Provider Utilities is to consider it a more advanced version of the CPRS Surrogates feature.  The Surrogates feature lets you redirect all notifications from one provider to another – useful when one provider is on vacation. Provider Utilities redirects only selected notifications – those related to qualifying orders issued while the current provider was acting in a now-discontinued role or capacity at a given site.</w:t>
      </w:r>
    </w:p>
    <w:p w14:paraId="1447EFC8" w14:textId="166CBABA" w:rsidR="00421C89" w:rsidRDefault="00421C89" w:rsidP="00421C89">
      <w:pPr>
        <w:pStyle w:val="BodyText"/>
      </w:pPr>
      <w:bookmarkStart w:id="5" w:name="_Hlk491687348"/>
      <w:r>
        <w:t xml:space="preserve">Provider Utilities implements VA </w:t>
      </w:r>
      <w:r w:rsidR="007A1298">
        <w:t>New Service Request (</w:t>
      </w:r>
      <w:r>
        <w:t>NSR</w:t>
      </w:r>
      <w:r w:rsidR="007A1298">
        <w:t>)</w:t>
      </w:r>
      <w:r>
        <w:t xml:space="preserve"> 20130504. The program is independent from CPRS, but works with CPRS GUI servers. It will eventually become available in various CPRS server releases (30 and later).</w:t>
      </w:r>
    </w:p>
    <w:p w14:paraId="26C682F5" w14:textId="77777777" w:rsidR="00421C89" w:rsidRDefault="00421C89" w:rsidP="00421C89">
      <w:pPr>
        <w:pStyle w:val="BodyText"/>
      </w:pPr>
      <w:r>
        <w:t xml:space="preserve">The Provider Utilities application swaps “qualifying” patient orders from an original provider (who has moved on and should no longer receive associated order notifications) to a substitute provider. The reassignment ensures that the original provider won’t receive any notifications </w:t>
      </w:r>
      <w:r>
        <w:lastRenderedPageBreak/>
        <w:t xml:space="preserve">associated with the orders in question, and the substitute provider will receive those notifications. A “qualifying” patient order is an open order issued by the original provider during a specified timer period (by default, the last calendar year). </w:t>
      </w:r>
    </w:p>
    <w:p w14:paraId="289AA66E" w14:textId="503EC467" w:rsidR="00421C89" w:rsidRDefault="00421C89" w:rsidP="00421C89">
      <w:pPr>
        <w:pStyle w:val="BodyText"/>
      </w:pPr>
      <w:r>
        <w:t>The original case that led to this NSR was a provider who moved from VA to DOD while remaining at the same site. After the role change, the provider was no longer responsible for VA patients, and was instead responsible for DOD patients. The facility w</w:t>
      </w:r>
      <w:r w:rsidR="005C7269">
        <w:t>as in a difficult situation.</w:t>
      </w:r>
      <w:r>
        <w:t xml:space="preserve"> If they assigned a surrogate for the original provider, that surrogate received order notifications for the original provider’s VA </w:t>
      </w:r>
      <w:r w:rsidRPr="006A7440">
        <w:rPr>
          <w:i/>
        </w:rPr>
        <w:t>and</w:t>
      </w:r>
      <w:r>
        <w:t xml:space="preserve"> DOD patients. If they did not assign a surrogate, the original provider continued to receive notifications for VA patients. They needed a solution that would let the original provider move on to new duties without the burden of receiving notifications for orders issued in the abandoned VA role.</w:t>
      </w:r>
    </w:p>
    <w:bookmarkEnd w:id="5"/>
    <w:p w14:paraId="6E84F101" w14:textId="77777777" w:rsidR="00421C89" w:rsidRPr="003E0818" w:rsidRDefault="00421C89" w:rsidP="00421C89">
      <w:pPr>
        <w:pStyle w:val="BodyText"/>
      </w:pPr>
    </w:p>
    <w:p w14:paraId="5BA058A6" w14:textId="77777777" w:rsidR="00E032B1" w:rsidRPr="008871FC" w:rsidRDefault="007D6404" w:rsidP="00AA618B">
      <w:pPr>
        <w:pStyle w:val="Heading2"/>
      </w:pPr>
      <w:bookmarkStart w:id="6" w:name="_Toc506368250"/>
      <w:r>
        <w:t xml:space="preserve">Document </w:t>
      </w:r>
      <w:r w:rsidR="00E032B1" w:rsidRPr="008871FC">
        <w:t>Orientation</w:t>
      </w:r>
      <w:bookmarkEnd w:id="6"/>
    </w:p>
    <w:p w14:paraId="5BA058A8" w14:textId="77777777" w:rsidR="004047F3" w:rsidRPr="008871FC" w:rsidRDefault="004047F3" w:rsidP="00EB1C51">
      <w:pPr>
        <w:pStyle w:val="Heading3"/>
      </w:pPr>
      <w:bookmarkStart w:id="7" w:name="_Toc506368251"/>
      <w:r w:rsidRPr="008871FC">
        <w:t>Organization of the Manual</w:t>
      </w:r>
      <w:bookmarkEnd w:id="7"/>
    </w:p>
    <w:p w14:paraId="5BA058A9" w14:textId="77777777" w:rsidR="00E032B1" w:rsidRPr="00AF6C56" w:rsidRDefault="004047F3" w:rsidP="008871FC">
      <w:pPr>
        <w:pStyle w:val="InstructionalText1"/>
        <w:rPr>
          <w:highlight w:val="yellow"/>
        </w:rPr>
      </w:pPr>
      <w:r w:rsidRPr="00242944">
        <w:t>Provide a list of the major sections of the User’s Manual (1.0, 2.0, 3.0, etc.) and a brief description of what is contained in each section.</w:t>
      </w:r>
    </w:p>
    <w:p w14:paraId="5BA058AA" w14:textId="77777777" w:rsidR="00E032B1" w:rsidRPr="00B659CB" w:rsidRDefault="00E032B1" w:rsidP="00FD55A2">
      <w:pPr>
        <w:pStyle w:val="InstructionalText1"/>
      </w:pPr>
      <w:r w:rsidRPr="00B659CB">
        <w:t xml:space="preserve">Identify </w:t>
      </w:r>
      <w:r w:rsidR="008871FC" w:rsidRPr="00B659CB">
        <w:t xml:space="preserve">the </w:t>
      </w:r>
      <w:r w:rsidRPr="00B659CB">
        <w:t xml:space="preserve">roles this guide was written for and the job functions it addresses. </w:t>
      </w:r>
    </w:p>
    <w:p w14:paraId="5BA058AB" w14:textId="77777777" w:rsidR="00E032B1" w:rsidRPr="00B659CB" w:rsidRDefault="00E032B1" w:rsidP="00EB1C51">
      <w:pPr>
        <w:pStyle w:val="Heading3"/>
      </w:pPr>
      <w:bookmarkStart w:id="8" w:name="_Toc506368252"/>
      <w:r w:rsidRPr="00B659CB">
        <w:t>Assumptions</w:t>
      </w:r>
      <w:bookmarkEnd w:id="8"/>
    </w:p>
    <w:p w14:paraId="5BA058B2" w14:textId="7F13D5FB" w:rsidR="00C6696D" w:rsidRDefault="00F83398" w:rsidP="00F83398">
      <w:pPr>
        <w:pStyle w:val="BodyTextBullet1"/>
      </w:pPr>
      <w:r w:rsidRPr="00F83398">
        <w:rPr>
          <w:b/>
        </w:rPr>
        <w:t>Users:</w:t>
      </w:r>
      <w:r>
        <w:t xml:space="preserve"> </w:t>
      </w:r>
      <w:r w:rsidR="00BC29DF">
        <w:t>Provider Uti</w:t>
      </w:r>
      <w:r w:rsidR="00421C89">
        <w:t xml:space="preserve">lities will be used by personnel that sites assign </w:t>
      </w:r>
      <w:r w:rsidR="00BC29DF">
        <w:t xml:space="preserve">to reassign </w:t>
      </w:r>
      <w:r w:rsidR="001053D5">
        <w:t xml:space="preserve">responsibility from one provider to another.  </w:t>
      </w:r>
      <w:r w:rsidR="005B41A8">
        <w:t xml:space="preserve">It is assumed that using Provider Utilities will be an administrative function, perhaps performed by a Clinical Application Coordinator (CAC). The CAC can perform this function under the direction clinical personnel who can direct how qualifying orders will be reassigned to one or more different providers. </w:t>
      </w:r>
      <w:r w:rsidR="00792ECF">
        <w:t xml:space="preserve">However, this process is up to sites to decide on the process to reassign orders. </w:t>
      </w:r>
    </w:p>
    <w:p w14:paraId="30D7E8A8" w14:textId="77777777" w:rsidR="00A31E63" w:rsidRDefault="00F83398" w:rsidP="00A31E63">
      <w:pPr>
        <w:pStyle w:val="BodyTextBullet1"/>
      </w:pPr>
      <w:bookmarkStart w:id="9" w:name="_Toc501548729"/>
      <w:r w:rsidRPr="00A31E63">
        <w:rPr>
          <w:b/>
        </w:rPr>
        <w:t>Accessibility</w:t>
      </w:r>
      <w:bookmarkEnd w:id="9"/>
      <w:r w:rsidRPr="00A31E63">
        <w:rPr>
          <w:b/>
        </w:rPr>
        <w:t>:</w:t>
      </w:r>
      <w:r>
        <w:t xml:space="preserve"> Provider Utilities is fully compliant with Section 508 accessibility directives.</w:t>
      </w:r>
      <w:bookmarkStart w:id="10" w:name="_Toc501548734"/>
    </w:p>
    <w:p w14:paraId="18BFF83C" w14:textId="423C2026" w:rsidR="00A31E63" w:rsidRDefault="00A31E63" w:rsidP="00A31E63">
      <w:pPr>
        <w:pStyle w:val="BodyTextBullet1"/>
      </w:pPr>
      <w:r w:rsidRPr="00A31E63">
        <w:rPr>
          <w:b/>
        </w:rPr>
        <w:t>Provider Utilities GUI Interface</w:t>
      </w:r>
      <w:bookmarkEnd w:id="10"/>
      <w:r w:rsidRPr="00A31E63">
        <w:rPr>
          <w:b/>
        </w:rPr>
        <w:t>:</w:t>
      </w:r>
      <w:r>
        <w:t xml:space="preserve"> Provider Utilities was built to run in the Microsoft Windows operating environment (usually referred to simply as Windows). </w:t>
      </w:r>
    </w:p>
    <w:p w14:paraId="004A4647" w14:textId="77777777" w:rsidR="00F83398" w:rsidRPr="00CE681A" w:rsidRDefault="00F83398" w:rsidP="00BC29DF">
      <w:pPr>
        <w:pStyle w:val="BodyText"/>
      </w:pPr>
    </w:p>
    <w:p w14:paraId="5BA058B3" w14:textId="77777777" w:rsidR="00E032B1" w:rsidRDefault="00E032B1" w:rsidP="00EB1C51">
      <w:pPr>
        <w:pStyle w:val="Heading3"/>
      </w:pPr>
      <w:bookmarkStart w:id="11" w:name="_Toc506368253"/>
      <w:r>
        <w:t>Coordination</w:t>
      </w:r>
      <w:bookmarkEnd w:id="11"/>
    </w:p>
    <w:p w14:paraId="5BA058B4" w14:textId="3043E257" w:rsidR="00E032B1" w:rsidRDefault="00D025B2" w:rsidP="00D025B2">
      <w:pPr>
        <w:pStyle w:val="BodyText"/>
      </w:pPr>
      <w:r>
        <w:t xml:space="preserve">To use Provider Utilities, sites will need to coordinate the installation and make sure that the correct users have authorization to use the software. </w:t>
      </w:r>
    </w:p>
    <w:p w14:paraId="7896C45A" w14:textId="77777777" w:rsidR="00BC29DF" w:rsidRPr="00BC29DF" w:rsidRDefault="00BC29DF" w:rsidP="00BC29DF">
      <w:pPr>
        <w:pStyle w:val="BodyText"/>
      </w:pPr>
    </w:p>
    <w:p w14:paraId="5BA058B6" w14:textId="44BC7863" w:rsidR="00CE14C4" w:rsidRPr="00B659CB" w:rsidRDefault="006408CE" w:rsidP="006E7CD9">
      <w:pPr>
        <w:pStyle w:val="BodyTextBullet1"/>
      </w:pPr>
      <w:r>
        <w:t>For installation, site</w:t>
      </w:r>
      <w:r w:rsidR="004E4868">
        <w:t>s</w:t>
      </w:r>
      <w:r>
        <w:t xml:space="preserve"> need to coordinate their local resources with the </w:t>
      </w:r>
      <w:r w:rsidR="004E4868">
        <w:t xml:space="preserve">ITOPS support, if they are supported by them to install Provider Utilities. </w:t>
      </w:r>
      <w:r w:rsidR="00CE14C4" w:rsidRPr="00B659CB">
        <w:t>The</w:t>
      </w:r>
      <w:r>
        <w:t xml:space="preserve"> site Computerized Patient Record System (CPRS)</w:t>
      </w:r>
      <w:r w:rsidR="00CE14C4" w:rsidRPr="00B659CB">
        <w:t xml:space="preserve"> Coordinator</w:t>
      </w:r>
      <w:r w:rsidR="004E4868">
        <w:t xml:space="preserve"> may be involved in selecting which users will need </w:t>
      </w:r>
      <w:r w:rsidR="004E4868">
        <w:lastRenderedPageBreak/>
        <w:t xml:space="preserve">to use Provider Utilities. It is anticipated that Clinical Application Coordinators (CACs) will be tasked with using Provider Utilities to reassign orders to new providers. </w:t>
      </w:r>
    </w:p>
    <w:p w14:paraId="5BA058B7" w14:textId="7160BFEA" w:rsidR="00CE14C4" w:rsidRPr="00B659CB" w:rsidRDefault="00FE4541" w:rsidP="00FE4541">
      <w:pPr>
        <w:pStyle w:val="BodyTextBullet1"/>
      </w:pPr>
      <w:r>
        <w:t>The audience for this Provider Utilities</w:t>
      </w:r>
      <w:r w:rsidR="00CE14C4" w:rsidRPr="00B659CB">
        <w:t xml:space="preserve"> </w:t>
      </w:r>
      <w:r>
        <w:t xml:space="preserve">User Guide consists of those resources that will be tasked with reassigning orders from providers who have changed roles but remain at a site to other providers at the site. As described later in this manual, clinical staff at the site should decide which orders need to be reassigned and to whom they should be reassigned. </w:t>
      </w:r>
    </w:p>
    <w:p w14:paraId="5BA058B8" w14:textId="77777777" w:rsidR="00E032B1" w:rsidRPr="000971FB" w:rsidRDefault="00E032B1" w:rsidP="00EB1C51">
      <w:pPr>
        <w:pStyle w:val="Heading3"/>
      </w:pPr>
      <w:bookmarkStart w:id="12" w:name="_Toc506368254"/>
      <w:r w:rsidRPr="000971FB">
        <w:t>Disclaimer</w:t>
      </w:r>
      <w:r w:rsidR="001449FD" w:rsidRPr="000971FB">
        <w:t>s</w:t>
      </w:r>
      <w:bookmarkEnd w:id="12"/>
    </w:p>
    <w:p w14:paraId="5BA058BA" w14:textId="77777777" w:rsidR="001449FD" w:rsidRPr="00EB1C51" w:rsidRDefault="001449FD" w:rsidP="00EB1C51">
      <w:pPr>
        <w:pStyle w:val="Heading4"/>
      </w:pPr>
      <w:bookmarkStart w:id="13" w:name="_Toc506368255"/>
      <w:r w:rsidRPr="00EB1C51">
        <w:t>Software Disclaimer</w:t>
      </w:r>
      <w:bookmarkEnd w:id="13"/>
    </w:p>
    <w:p w14:paraId="5BA058BD" w14:textId="0BC67D56" w:rsidR="00E032B1" w:rsidRPr="00DD35E4" w:rsidRDefault="00E032B1" w:rsidP="00DD35E4">
      <w:pPr>
        <w:pStyle w:val="BodyText"/>
      </w:pPr>
      <w:r w:rsidRPr="00DD35E4">
        <w:t xml:space="preserve">This software was developed at the Department of Veterans Affairs (VA) by employees of the Federal Government in the course of their official duties. Pursuant to title 17 Section 105 of the United States Code this software is not subject to copyright protection and is in the public domain. VA assumes no responsibility whatsoever for its use by other parties, and makes no guarantees, expressed or implied, about its quality, reliability, or any other characteristic. We would appreciate acknowledgement if the software is used. This software can be redistributed and/or modified freely </w:t>
      </w:r>
      <w:r w:rsidR="0081116F" w:rsidRPr="00DD35E4">
        <w:t>if</w:t>
      </w:r>
      <w:r w:rsidRPr="00DD35E4">
        <w:t xml:space="preserve"> any derivative works bear some notice that they are derived from it, and any modified versions bear some notice that they have been modified.</w:t>
      </w:r>
    </w:p>
    <w:p w14:paraId="5BA058BF" w14:textId="77777777" w:rsidR="001449FD" w:rsidRPr="000971FB" w:rsidRDefault="001449FD" w:rsidP="00EB1C51">
      <w:pPr>
        <w:pStyle w:val="Heading4"/>
      </w:pPr>
      <w:bookmarkStart w:id="14" w:name="_Toc506368256"/>
      <w:r w:rsidRPr="000971FB">
        <w:t>Documentation Disclaimer</w:t>
      </w:r>
      <w:bookmarkEnd w:id="14"/>
    </w:p>
    <w:p w14:paraId="5BA058C0" w14:textId="77777777" w:rsidR="001449FD" w:rsidRPr="000971FB" w:rsidRDefault="001449FD" w:rsidP="002A2AD1">
      <w:pPr>
        <w:pStyle w:val="BodyText"/>
        <w:rPr>
          <w:i/>
        </w:rPr>
      </w:pPr>
      <w:r w:rsidRPr="000971FB">
        <w:rPr>
          <w:i/>
        </w:rPr>
        <w:t>The appearance of external hyperlink references in this manual does not constitute endorsement by the Department of Veterans Affairs (VA) of this Web site or the information, products, or services contained therein. The VA does not exercise any editorial control over the information you may find at these locations. Such links are provided and are consistent with the stated purpose of the VA.</w:t>
      </w:r>
    </w:p>
    <w:p w14:paraId="5BA058C1" w14:textId="77777777" w:rsidR="00E032B1" w:rsidRPr="000971FB" w:rsidRDefault="00E032B1" w:rsidP="00EB1C51">
      <w:pPr>
        <w:pStyle w:val="Heading3"/>
      </w:pPr>
      <w:bookmarkStart w:id="15" w:name="_Toc506368257"/>
      <w:r w:rsidRPr="000971FB">
        <w:t>Documentation Conventions</w:t>
      </w:r>
      <w:bookmarkEnd w:id="15"/>
    </w:p>
    <w:p w14:paraId="5BA058C4" w14:textId="4E3F9A6E" w:rsidR="00A267E0" w:rsidRPr="00B03BF3" w:rsidRDefault="00A267E0" w:rsidP="003C6D56">
      <w:pPr>
        <w:pStyle w:val="BodyText"/>
      </w:pPr>
      <w:r w:rsidRPr="00B03BF3">
        <w:t>This manual uses several methods to highlight different aspects of the material.</w:t>
      </w:r>
    </w:p>
    <w:p w14:paraId="5BA058D0" w14:textId="77777777" w:rsidR="00A267E0" w:rsidRPr="005A1E0B" w:rsidRDefault="00A267E0" w:rsidP="003C6D56">
      <w:pPr>
        <w:pStyle w:val="BodyTextBullet1"/>
      </w:pPr>
      <w:r w:rsidRPr="005A1E0B">
        <w:t>Descriptive text is presented in a proportional font (as represented by this font).</w:t>
      </w:r>
    </w:p>
    <w:p w14:paraId="53489D28" w14:textId="1586AD81" w:rsidR="007356FC" w:rsidRDefault="007356FC" w:rsidP="003C6D56">
      <w:pPr>
        <w:pStyle w:val="BodyTextBullet1"/>
      </w:pPr>
      <w:r w:rsidRPr="007356FC">
        <w:rPr>
          <w:b/>
        </w:rPr>
        <w:t>Note</w:t>
      </w:r>
      <w:r>
        <w:rPr>
          <w:b/>
        </w:rPr>
        <w:t xml:space="preserve">: </w:t>
      </w:r>
      <w:r w:rsidRPr="007356FC">
        <w:t xml:space="preserve">Notes are used to call a user’s attention to </w:t>
      </w:r>
      <w:r w:rsidR="004E4868" w:rsidRPr="007356FC">
        <w:t>an</w:t>
      </w:r>
      <w:r w:rsidRPr="007356FC">
        <w:t xml:space="preserve"> important matter or idea. It will be in bold.</w:t>
      </w:r>
    </w:p>
    <w:p w14:paraId="71EF5C51" w14:textId="7A5A5303" w:rsidR="007356FC" w:rsidRDefault="007356FC" w:rsidP="003C6D56">
      <w:pPr>
        <w:pStyle w:val="BodyTextBullet1"/>
      </w:pPr>
      <w:r>
        <w:rPr>
          <w:b/>
        </w:rPr>
        <w:t>Warning:</w:t>
      </w:r>
      <w:r>
        <w:t xml:space="preserve"> This paragraph is a caution for users that if they do something, the result could be serious including loss of data.</w:t>
      </w:r>
    </w:p>
    <w:p w14:paraId="22B6155E" w14:textId="23C1F84D" w:rsidR="00C85330" w:rsidRDefault="00A267E0" w:rsidP="003C6D56">
      <w:pPr>
        <w:pStyle w:val="BodyTextBullet1"/>
      </w:pPr>
      <w:r w:rsidRPr="005A1E0B">
        <w:t xml:space="preserve">“Snapshots” of computer online displays (i.e., character-based screen captures/dialogs) and computer source code are shown in a non-proportional font and enclosed within a box. </w:t>
      </w:r>
    </w:p>
    <w:p w14:paraId="08EDB5BC" w14:textId="77777777" w:rsidR="00C85330" w:rsidRDefault="00C85330" w:rsidP="00C85330">
      <w:pPr>
        <w:pStyle w:val="capture"/>
      </w:pPr>
      <w:r>
        <w:t>Select OPTION NAME: XPAR EDIT PARAMETER       Edit Parameter Values</w:t>
      </w:r>
    </w:p>
    <w:p w14:paraId="46FC6FFF" w14:textId="2261995B" w:rsidR="00C85330" w:rsidRDefault="00C85330" w:rsidP="00C85330">
      <w:pPr>
        <w:pStyle w:val="capture"/>
      </w:pPr>
      <w:r>
        <w:t>Edit Parameter Values</w:t>
      </w:r>
    </w:p>
    <w:p w14:paraId="15450A68" w14:textId="77777777" w:rsidR="00C85330" w:rsidRDefault="00C85330" w:rsidP="00C85330">
      <w:pPr>
        <w:pStyle w:val="BodyText"/>
      </w:pPr>
    </w:p>
    <w:p w14:paraId="615B322D" w14:textId="77777777" w:rsidR="00C85330" w:rsidRDefault="00C85330">
      <w:pPr>
        <w:rPr>
          <w:sz w:val="24"/>
          <w:szCs w:val="20"/>
        </w:rPr>
      </w:pPr>
      <w:r>
        <w:br w:type="page"/>
      </w:r>
    </w:p>
    <w:p w14:paraId="5BA058D1" w14:textId="74865AED" w:rsidR="00A267E0" w:rsidRDefault="00A267E0" w:rsidP="003C6D56">
      <w:pPr>
        <w:pStyle w:val="BodyTextBullet1"/>
      </w:pPr>
      <w:r w:rsidRPr="005A1E0B">
        <w:lastRenderedPageBreak/>
        <w:t>Also included are Graphical User Interface (GUI) Microsoft Windows images (i.e., dialogs or forms).</w:t>
      </w:r>
    </w:p>
    <w:p w14:paraId="79144519" w14:textId="0FD44C5E" w:rsidR="003C6D56" w:rsidRDefault="00C85330" w:rsidP="002855B2">
      <w:pPr>
        <w:pStyle w:val="BodyText"/>
      </w:pPr>
      <w:r>
        <w:rPr>
          <w:noProof/>
        </w:rPr>
        <w:drawing>
          <wp:inline distT="0" distB="0" distL="0" distR="0" wp14:anchorId="5E827834" wp14:editId="41BAC4C4">
            <wp:extent cx="5448210" cy="3219450"/>
            <wp:effectExtent l="0" t="0" r="635" b="0"/>
            <wp:docPr id="4" name="Picture 4" descr="This screen capture shows the Provider Utiities: Reassign Patient Orders dialo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48210" cy="3219450"/>
                    </a:xfrm>
                    <a:prstGeom prst="rect">
                      <a:avLst/>
                    </a:prstGeom>
                  </pic:spPr>
                </pic:pic>
              </a:graphicData>
            </a:graphic>
          </wp:inline>
        </w:drawing>
      </w:r>
    </w:p>
    <w:p w14:paraId="2BD582AA" w14:textId="77777777" w:rsidR="002855B2" w:rsidRDefault="002855B2" w:rsidP="002855B2">
      <w:pPr>
        <w:pStyle w:val="Caption"/>
      </w:pPr>
      <w:r>
        <w:t xml:space="preserve">Figure </w:t>
      </w:r>
      <w:fldSimple w:instr=" SEQ Figure \* ARABIC ">
        <w:r>
          <w:rPr>
            <w:noProof/>
          </w:rPr>
          <w:t>1</w:t>
        </w:r>
      </w:fldSimple>
      <w:r>
        <w:t>: Provider Utilities server connection dialog</w:t>
      </w:r>
    </w:p>
    <w:p w14:paraId="14AD0329" w14:textId="77777777" w:rsidR="00C85330" w:rsidRPr="005A1E0B" w:rsidRDefault="00C85330" w:rsidP="00C85330">
      <w:pPr>
        <w:pStyle w:val="BodyTextBullet1"/>
        <w:numPr>
          <w:ilvl w:val="0"/>
          <w:numId w:val="0"/>
        </w:numPr>
        <w:ind w:left="720"/>
      </w:pPr>
    </w:p>
    <w:p w14:paraId="5BA058D3" w14:textId="77777777" w:rsidR="00A267E0" w:rsidRPr="005A1E0B" w:rsidRDefault="00A267E0" w:rsidP="003C6D56">
      <w:pPr>
        <w:pStyle w:val="BodyTextBullet1"/>
      </w:pPr>
      <w:r w:rsidRPr="005A1E0B">
        <w:t xml:space="preserve">User's responses to online prompts (e.g., manual entry, taps, clicks, etc.) will be </w:t>
      </w:r>
      <w:r w:rsidRPr="005A1E0B">
        <w:rPr>
          <w:b/>
        </w:rPr>
        <w:t>boldface</w:t>
      </w:r>
      <w:r w:rsidRPr="005A1E0B">
        <w:t xml:space="preserve"> type.</w:t>
      </w:r>
    </w:p>
    <w:p w14:paraId="5BA058D4" w14:textId="77777777" w:rsidR="00A267E0" w:rsidRPr="005A1E0B" w:rsidRDefault="00A267E0" w:rsidP="003C6D56">
      <w:pPr>
        <w:pStyle w:val="BodyTextBullet1"/>
      </w:pPr>
      <w:r w:rsidRPr="005A1E0B">
        <w:t>All uppercase is reserved for the representation of M code, variable names, or the formal name of options, field and file names, and security key (e.g., the XUPROGMODE key).</w:t>
      </w:r>
    </w:p>
    <w:p w14:paraId="5BA058D5" w14:textId="77777777" w:rsidR="00A267E0" w:rsidRPr="005A1E0B" w:rsidRDefault="00A267E0" w:rsidP="003C6D56">
      <w:pPr>
        <w:pStyle w:val="BodyTextBullet1"/>
        <w:rPr>
          <w:kern w:val="2"/>
        </w:rPr>
      </w:pPr>
      <w:r w:rsidRPr="005A1E0B">
        <w:t>Conventions for displaying TEST data in this manual are as follows:</w:t>
      </w:r>
    </w:p>
    <w:p w14:paraId="5BA058D6" w14:textId="77777777" w:rsidR="00A267E0" w:rsidRPr="005A1E0B" w:rsidRDefault="00A267E0" w:rsidP="00C85330">
      <w:pPr>
        <w:pStyle w:val="BodyTextBullet2"/>
      </w:pPr>
      <w:r w:rsidRPr="005A1E0B">
        <w:t xml:space="preserve">The first three digits (prefix) of any Social Security Numbers (SSN) will begin with either “000” or “666”. </w:t>
      </w:r>
    </w:p>
    <w:p w14:paraId="5BA058D7" w14:textId="77777777" w:rsidR="00A267E0" w:rsidRPr="005A1E0B" w:rsidRDefault="00A267E0" w:rsidP="00C85330">
      <w:pPr>
        <w:pStyle w:val="BodyTextBullet2"/>
        <w:rPr>
          <w:kern w:val="2"/>
          <w:szCs w:val="22"/>
        </w:rPr>
      </w:pPr>
      <w:r w:rsidRPr="005A1E0B">
        <w:t xml:space="preserve">Patient and user names are formatted as follows: </w:t>
      </w:r>
    </w:p>
    <w:p w14:paraId="5BA058D8" w14:textId="5D661008" w:rsidR="00A267E0" w:rsidRDefault="00A267E0" w:rsidP="00C85330">
      <w:pPr>
        <w:pStyle w:val="BodyTextFirstIndent2"/>
        <w:ind w:left="1440" w:firstLine="0"/>
      </w:pPr>
      <w:r w:rsidRPr="005A1E0B">
        <w:t>&lt;Application Name&gt;”PATIENT”,&lt;fictitious given name&gt;&lt;NUMBER&gt; and &lt;Application Name&gt;”USER”,&lt;fictitious gi</w:t>
      </w:r>
      <w:r w:rsidR="0047675C">
        <w:t>ven name&gt;&lt;NUMBER&gt;, respectively:</w:t>
      </w:r>
    </w:p>
    <w:p w14:paraId="3EF184F1" w14:textId="77777777" w:rsidR="00C85330" w:rsidRPr="005A1E0B" w:rsidRDefault="00C85330" w:rsidP="00C85330">
      <w:pPr>
        <w:pStyle w:val="BodyTextFirstIndent2"/>
        <w:ind w:left="1440" w:firstLine="0"/>
      </w:pPr>
    </w:p>
    <w:p w14:paraId="5BA058D9" w14:textId="2D761C70" w:rsidR="00A267E0" w:rsidRDefault="00A267E0" w:rsidP="00C85330">
      <w:pPr>
        <w:pStyle w:val="BodyTextFirstIndent2"/>
        <w:ind w:left="1440" w:firstLine="0"/>
      </w:pPr>
      <w:r w:rsidRPr="005A1E0B">
        <w:t xml:space="preserve">The “Fictitious given name” represents a fabricated given name for the patient or user based on the application being released or the product name. For example, </w:t>
      </w:r>
      <w:r w:rsidR="00083728">
        <w:t>Master Veteran Index (MVI) software</w:t>
      </w:r>
      <w:r w:rsidRPr="005A1E0B">
        <w:t xml:space="preserve"> </w:t>
      </w:r>
      <w:r w:rsidR="00083728">
        <w:t>test</w:t>
      </w:r>
      <w:r w:rsidRPr="005A1E0B">
        <w:t xml:space="preserve"> patient and user names would be documented as follows: </w:t>
      </w:r>
    </w:p>
    <w:p w14:paraId="04083B6C" w14:textId="77777777" w:rsidR="0047675C" w:rsidRDefault="0047675C" w:rsidP="0047675C">
      <w:pPr>
        <w:pStyle w:val="BodyTextFirstIndent2"/>
        <w:ind w:left="1440" w:firstLine="0"/>
      </w:pPr>
      <w:r>
        <w:t>CPRSpatient, One</w:t>
      </w:r>
    </w:p>
    <w:p w14:paraId="4ADC5DC6" w14:textId="77777777" w:rsidR="0047675C" w:rsidRDefault="0047675C" w:rsidP="0047675C">
      <w:pPr>
        <w:pStyle w:val="BodyTextFirstIndent2"/>
        <w:ind w:left="1440" w:firstLine="0"/>
      </w:pPr>
      <w:r>
        <w:t>CPRSprovider, Twenty</w:t>
      </w:r>
    </w:p>
    <w:p w14:paraId="512142B0" w14:textId="77777777" w:rsidR="0047675C" w:rsidRPr="005A1E0B" w:rsidRDefault="0047675C" w:rsidP="00C85330">
      <w:pPr>
        <w:pStyle w:val="BodyTextFirstIndent2"/>
        <w:ind w:left="1440" w:firstLine="0"/>
      </w:pPr>
    </w:p>
    <w:p w14:paraId="5BA058DA" w14:textId="77777777" w:rsidR="00080748" w:rsidRPr="00A267E0" w:rsidRDefault="00080748" w:rsidP="00EB1C51">
      <w:pPr>
        <w:pStyle w:val="Heading3"/>
      </w:pPr>
      <w:bookmarkStart w:id="16" w:name="_Toc506368258"/>
      <w:r w:rsidRPr="00A267E0">
        <w:lastRenderedPageBreak/>
        <w:t>References</w:t>
      </w:r>
      <w:r w:rsidR="00367E9C" w:rsidRPr="00A267E0">
        <w:t xml:space="preserve"> and Resources</w:t>
      </w:r>
      <w:bookmarkEnd w:id="16"/>
    </w:p>
    <w:p w14:paraId="08E8E55B" w14:textId="77777777" w:rsidR="00197803" w:rsidRDefault="00197803" w:rsidP="00197803">
      <w:pPr>
        <w:pStyle w:val="Heading4"/>
      </w:pPr>
      <w:bookmarkStart w:id="17" w:name="_Toc501548733"/>
      <w:bookmarkStart w:id="18" w:name="_Toc506368259"/>
      <w:bookmarkStart w:id="19" w:name="_Toc408993568"/>
      <w:bookmarkStart w:id="20" w:name="_Toc408996936"/>
      <w:bookmarkStart w:id="21" w:name="_Toc408996969"/>
      <w:bookmarkStart w:id="22" w:name="_Toc408999049"/>
      <w:r>
        <w:t>World Wide Web</w:t>
      </w:r>
      <w:bookmarkEnd w:id="17"/>
      <w:bookmarkEnd w:id="18"/>
      <w:r>
        <w:t xml:space="preserve"> </w:t>
      </w:r>
    </w:p>
    <w:p w14:paraId="69B39CA9" w14:textId="2DFA637F" w:rsidR="00197803" w:rsidRDefault="00197803" w:rsidP="00197803">
      <w:r>
        <w:t>Provider Utilities documentati</w:t>
      </w:r>
      <w:r w:rsidR="0042362C">
        <w:t>on is also available on the V</w:t>
      </w:r>
      <w:r>
        <w:t xml:space="preserve">A Document Library (VDL). The online versions will be updated as needed. Please look for the latest version on the VDL: </w:t>
      </w:r>
      <w:hyperlink r:id="rId10" w:history="1">
        <w:r w:rsidR="004C1233">
          <w:rPr>
            <w:rStyle w:val="Hyperlink"/>
          </w:rPr>
          <w:t>http://DNS.URL</w:t>
        </w:r>
      </w:hyperlink>
    </w:p>
    <w:p w14:paraId="07C528CE" w14:textId="77777777" w:rsidR="00505E19" w:rsidRDefault="00505E19" w:rsidP="00505E19">
      <w:pPr>
        <w:pStyle w:val="Heading4"/>
      </w:pPr>
      <w:bookmarkStart w:id="23" w:name="_Toc501548732"/>
      <w:bookmarkStart w:id="24" w:name="_Toc506368260"/>
      <w:r>
        <w:t>Online Help</w:t>
      </w:r>
      <w:bookmarkEnd w:id="23"/>
      <w:bookmarkEnd w:id="24"/>
    </w:p>
    <w:p w14:paraId="31BB2EB2" w14:textId="77777777" w:rsidR="00505E19" w:rsidRDefault="00505E19" w:rsidP="00505E19">
      <w:r>
        <w:t xml:space="preserve">Instructions, procedures, and other information are available from the Provider Utilities online help file. You may access the help file by clicking </w:t>
      </w:r>
      <w:r>
        <w:rPr>
          <w:b/>
          <w:bCs/>
        </w:rPr>
        <w:t xml:space="preserve">Help | Contents </w:t>
      </w:r>
      <w:r>
        <w:t>from the menu bar or by pressing the F1 key while you have any Provider Utilities dialog open. Much of the information in this User Manual is also in the Provider Utilities online help.</w:t>
      </w:r>
    </w:p>
    <w:p w14:paraId="5BA058DF" w14:textId="77777777" w:rsidR="00312A4C" w:rsidRPr="00786671" w:rsidRDefault="00946652" w:rsidP="00B5365A">
      <w:pPr>
        <w:pStyle w:val="Heading2"/>
        <w:keepLines/>
      </w:pPr>
      <w:bookmarkStart w:id="25" w:name="_Toc506368261"/>
      <w:bookmarkEnd w:id="19"/>
      <w:bookmarkEnd w:id="20"/>
      <w:bookmarkEnd w:id="21"/>
      <w:bookmarkEnd w:id="22"/>
      <w:r w:rsidRPr="00786671">
        <w:t>National Service</w:t>
      </w:r>
      <w:r w:rsidR="007453EA" w:rsidRPr="00786671">
        <w:t xml:space="preserve"> Desk and Organizational Contacts</w:t>
      </w:r>
      <w:bookmarkEnd w:id="25"/>
    </w:p>
    <w:p w14:paraId="5BA058E4" w14:textId="77777777" w:rsidR="002310D3" w:rsidRPr="002310D3" w:rsidRDefault="002310D3" w:rsidP="002F333C">
      <w:pPr>
        <w:pStyle w:val="InstructionalText2"/>
      </w:pPr>
      <w:bookmarkStart w:id="26" w:name="_Ref390770787"/>
      <w:bookmarkStart w:id="27" w:name="_Toc393900385"/>
      <w:r w:rsidRPr="002310D3">
        <w:t xml:space="preserve">Table </w:t>
      </w:r>
      <w:fldSimple w:instr=" SEQ Table \* ARABIC ">
        <w:r w:rsidR="002855B2">
          <w:rPr>
            <w:noProof/>
          </w:rPr>
          <w:t>1</w:t>
        </w:r>
      </w:fldSimple>
      <w:bookmarkEnd w:id="26"/>
      <w:r w:rsidRPr="000151E8">
        <w:t xml:space="preserve">. </w:t>
      </w:r>
      <w:r w:rsidRPr="002310D3">
        <w:t>Tier Support Contact Information</w:t>
      </w:r>
      <w:bookmarkEnd w:id="27"/>
      <w:r w:rsidR="00CC5DC0">
        <w:t>”</w:t>
      </w:r>
    </w:p>
    <w:tbl>
      <w:tblPr>
        <w:tblW w:w="4746"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le used for formatting purposes only"/>
        <w:tblDescription w:val="Sample Tier Support Contact Information, including name, role, organization, and contact information."/>
      </w:tblPr>
      <w:tblGrid>
        <w:gridCol w:w="2540"/>
        <w:gridCol w:w="1196"/>
        <w:gridCol w:w="862"/>
        <w:gridCol w:w="4492"/>
      </w:tblGrid>
      <w:tr w:rsidR="002310D3" w:rsidRPr="002310D3" w14:paraId="5BA058E9" w14:textId="77777777" w:rsidTr="001B4BDB">
        <w:trPr>
          <w:trHeight w:val="279"/>
          <w:tblHeader/>
        </w:trPr>
        <w:tc>
          <w:tcPr>
            <w:tcW w:w="1397" w:type="pct"/>
            <w:shd w:val="clear" w:color="auto" w:fill="D9D9D9" w:themeFill="background1" w:themeFillShade="D9"/>
            <w:tcMar>
              <w:top w:w="0" w:type="dxa"/>
              <w:left w:w="108" w:type="dxa"/>
              <w:bottom w:w="0" w:type="dxa"/>
              <w:right w:w="108" w:type="dxa"/>
            </w:tcMar>
            <w:vAlign w:val="center"/>
          </w:tcPr>
          <w:p w14:paraId="5BA058E5" w14:textId="77777777" w:rsidR="002310D3" w:rsidRPr="00F16CDE" w:rsidRDefault="002310D3" w:rsidP="00A32FE9">
            <w:pPr>
              <w:pStyle w:val="TableText"/>
              <w:rPr>
                <w:rFonts w:eastAsiaTheme="minorHAnsi"/>
              </w:rPr>
            </w:pPr>
            <w:bookmarkStart w:id="28" w:name="ColumnTitle_03"/>
            <w:bookmarkEnd w:id="28"/>
            <w:r w:rsidRPr="002310D3">
              <w:t>Name</w:t>
            </w:r>
          </w:p>
        </w:tc>
        <w:tc>
          <w:tcPr>
            <w:tcW w:w="658" w:type="pct"/>
            <w:shd w:val="clear" w:color="auto" w:fill="D9D9D9" w:themeFill="background1" w:themeFillShade="D9"/>
            <w:tcMar>
              <w:top w:w="0" w:type="dxa"/>
              <w:left w:w="108" w:type="dxa"/>
              <w:bottom w:w="0" w:type="dxa"/>
              <w:right w:w="108" w:type="dxa"/>
            </w:tcMar>
            <w:vAlign w:val="center"/>
          </w:tcPr>
          <w:p w14:paraId="5BA058E6" w14:textId="77777777" w:rsidR="002310D3" w:rsidRPr="00F16CDE" w:rsidRDefault="002310D3" w:rsidP="00A32FE9">
            <w:pPr>
              <w:pStyle w:val="TableText"/>
              <w:rPr>
                <w:rFonts w:eastAsiaTheme="minorHAnsi"/>
              </w:rPr>
            </w:pPr>
            <w:r w:rsidRPr="002310D3">
              <w:t>Role</w:t>
            </w:r>
          </w:p>
        </w:tc>
        <w:tc>
          <w:tcPr>
            <w:tcW w:w="474" w:type="pct"/>
            <w:shd w:val="clear" w:color="auto" w:fill="D9D9D9" w:themeFill="background1" w:themeFillShade="D9"/>
            <w:tcMar>
              <w:top w:w="0" w:type="dxa"/>
              <w:left w:w="108" w:type="dxa"/>
              <w:bottom w:w="0" w:type="dxa"/>
              <w:right w:w="108" w:type="dxa"/>
            </w:tcMar>
            <w:vAlign w:val="center"/>
          </w:tcPr>
          <w:p w14:paraId="5BA058E7" w14:textId="77777777" w:rsidR="002310D3" w:rsidRPr="00F16CDE" w:rsidRDefault="002310D3" w:rsidP="00A32FE9">
            <w:pPr>
              <w:pStyle w:val="TableText"/>
              <w:rPr>
                <w:rFonts w:eastAsiaTheme="minorHAnsi"/>
              </w:rPr>
            </w:pPr>
            <w:r w:rsidRPr="002310D3">
              <w:t>Org</w:t>
            </w:r>
          </w:p>
        </w:tc>
        <w:tc>
          <w:tcPr>
            <w:tcW w:w="2471" w:type="pct"/>
            <w:shd w:val="clear" w:color="auto" w:fill="D9D9D9" w:themeFill="background1" w:themeFillShade="D9"/>
            <w:tcMar>
              <w:top w:w="0" w:type="dxa"/>
              <w:left w:w="108" w:type="dxa"/>
              <w:bottom w:w="0" w:type="dxa"/>
              <w:right w:w="108" w:type="dxa"/>
            </w:tcMar>
            <w:vAlign w:val="center"/>
          </w:tcPr>
          <w:p w14:paraId="5BA058E8" w14:textId="77777777" w:rsidR="002310D3" w:rsidRPr="00F16CDE" w:rsidRDefault="002310D3" w:rsidP="00A32FE9">
            <w:pPr>
              <w:pStyle w:val="TableText"/>
              <w:rPr>
                <w:rFonts w:eastAsiaTheme="minorHAnsi"/>
              </w:rPr>
            </w:pPr>
            <w:r w:rsidRPr="002310D3">
              <w:t>Contact Info</w:t>
            </w:r>
          </w:p>
        </w:tc>
      </w:tr>
      <w:tr w:rsidR="00057218" w:rsidRPr="002310D3" w14:paraId="5BA058EE" w14:textId="77777777" w:rsidTr="001B4BDB">
        <w:trPr>
          <w:trHeight w:val="279"/>
        </w:trPr>
        <w:tc>
          <w:tcPr>
            <w:tcW w:w="1397" w:type="pct"/>
            <w:shd w:val="clear" w:color="auto" w:fill="FFFFFF"/>
            <w:tcMar>
              <w:top w:w="0" w:type="dxa"/>
              <w:left w:w="108" w:type="dxa"/>
              <w:bottom w:w="0" w:type="dxa"/>
              <w:right w:w="108" w:type="dxa"/>
            </w:tcMar>
          </w:tcPr>
          <w:p w14:paraId="5BA058EA" w14:textId="0A3173E2" w:rsidR="00057218" w:rsidRPr="002310D3" w:rsidRDefault="00A32FE9" w:rsidP="00A32FE9">
            <w:pPr>
              <w:pStyle w:val="TableText"/>
              <w:rPr>
                <w:bCs/>
              </w:rPr>
            </w:pPr>
            <w:r>
              <w:rPr>
                <w:bCs/>
              </w:rPr>
              <w:t xml:space="preserve">CPRS </w:t>
            </w:r>
            <w:r w:rsidR="00057218" w:rsidRPr="008B6631">
              <w:rPr>
                <w:bCs/>
              </w:rPr>
              <w:t>Clinical Application Coordinator</w:t>
            </w:r>
          </w:p>
        </w:tc>
        <w:tc>
          <w:tcPr>
            <w:tcW w:w="658" w:type="pct"/>
            <w:shd w:val="clear" w:color="auto" w:fill="FFFFFF"/>
            <w:tcMar>
              <w:top w:w="0" w:type="dxa"/>
              <w:left w:w="108" w:type="dxa"/>
              <w:bottom w:w="0" w:type="dxa"/>
              <w:right w:w="108" w:type="dxa"/>
            </w:tcMar>
          </w:tcPr>
          <w:p w14:paraId="5BA058EB" w14:textId="77777777" w:rsidR="00057218" w:rsidRPr="002310D3" w:rsidRDefault="00057218" w:rsidP="00A32FE9">
            <w:pPr>
              <w:pStyle w:val="TableText"/>
              <w:rPr>
                <w:bCs/>
              </w:rPr>
            </w:pPr>
            <w:r w:rsidRPr="008B6631">
              <w:rPr>
                <w:bCs/>
              </w:rPr>
              <w:t>Tier 0 Support</w:t>
            </w:r>
          </w:p>
        </w:tc>
        <w:tc>
          <w:tcPr>
            <w:tcW w:w="474" w:type="pct"/>
            <w:shd w:val="clear" w:color="auto" w:fill="FFFFFF"/>
            <w:tcMar>
              <w:top w:w="0" w:type="dxa"/>
              <w:left w:w="108" w:type="dxa"/>
              <w:bottom w:w="0" w:type="dxa"/>
              <w:right w:w="108" w:type="dxa"/>
            </w:tcMar>
          </w:tcPr>
          <w:p w14:paraId="5BA058EC" w14:textId="77777777" w:rsidR="00057218" w:rsidRPr="002310D3" w:rsidRDefault="00057218" w:rsidP="00A32FE9">
            <w:pPr>
              <w:pStyle w:val="TableText"/>
              <w:rPr>
                <w:bCs/>
              </w:rPr>
            </w:pPr>
            <w:r>
              <w:rPr>
                <w:bCs/>
              </w:rPr>
              <w:t>VHA</w:t>
            </w:r>
          </w:p>
        </w:tc>
        <w:tc>
          <w:tcPr>
            <w:tcW w:w="2471" w:type="pct"/>
            <w:shd w:val="clear" w:color="auto" w:fill="FFFFFF"/>
            <w:tcMar>
              <w:top w:w="0" w:type="dxa"/>
              <w:left w:w="108" w:type="dxa"/>
              <w:bottom w:w="0" w:type="dxa"/>
              <w:right w:w="108" w:type="dxa"/>
            </w:tcMar>
          </w:tcPr>
          <w:p w14:paraId="5BA058ED" w14:textId="7B57BA34" w:rsidR="00057218" w:rsidRDefault="00057218" w:rsidP="00A32FE9">
            <w:pPr>
              <w:pStyle w:val="TableText"/>
            </w:pPr>
            <w:r w:rsidRPr="008B6631">
              <w:rPr>
                <w:bCs/>
              </w:rPr>
              <w:t xml:space="preserve">Local </w:t>
            </w:r>
            <w:r>
              <w:rPr>
                <w:bCs/>
              </w:rPr>
              <w:t>Clinical App</w:t>
            </w:r>
            <w:r w:rsidRPr="008B6631">
              <w:rPr>
                <w:bCs/>
              </w:rPr>
              <w:t xml:space="preserve"> Coordinator</w:t>
            </w:r>
            <w:r w:rsidR="00626F88">
              <w:rPr>
                <w:bCs/>
              </w:rPr>
              <w:t xml:space="preserve"> information should be available from your site.</w:t>
            </w:r>
          </w:p>
        </w:tc>
      </w:tr>
      <w:tr w:rsidR="002310D3" w:rsidRPr="002310D3" w14:paraId="5BA058F4" w14:textId="77777777" w:rsidTr="001B4BDB">
        <w:trPr>
          <w:trHeight w:val="279"/>
        </w:trPr>
        <w:tc>
          <w:tcPr>
            <w:tcW w:w="1397" w:type="pct"/>
            <w:shd w:val="clear" w:color="auto" w:fill="FFFFFF"/>
            <w:tcMar>
              <w:top w:w="0" w:type="dxa"/>
              <w:left w:w="108" w:type="dxa"/>
              <w:bottom w:w="0" w:type="dxa"/>
              <w:right w:w="108" w:type="dxa"/>
            </w:tcMar>
            <w:hideMark/>
          </w:tcPr>
          <w:p w14:paraId="5BA058EF" w14:textId="77777777" w:rsidR="002310D3" w:rsidRPr="00F16CDE" w:rsidRDefault="002310D3" w:rsidP="00A32FE9">
            <w:pPr>
              <w:pStyle w:val="TableText"/>
              <w:rPr>
                <w:rFonts w:eastAsiaTheme="minorHAnsi"/>
                <w:bCs/>
              </w:rPr>
            </w:pPr>
            <w:r w:rsidRPr="002310D3">
              <w:rPr>
                <w:bCs/>
              </w:rPr>
              <w:t>OI</w:t>
            </w:r>
            <w:r w:rsidR="000D6754">
              <w:rPr>
                <w:bCs/>
              </w:rPr>
              <w:t>&amp;</w:t>
            </w:r>
            <w:r w:rsidRPr="002310D3">
              <w:rPr>
                <w:bCs/>
              </w:rPr>
              <w:t>T National Service Desk</w:t>
            </w:r>
          </w:p>
        </w:tc>
        <w:tc>
          <w:tcPr>
            <w:tcW w:w="658" w:type="pct"/>
            <w:shd w:val="clear" w:color="auto" w:fill="FFFFFF"/>
            <w:tcMar>
              <w:top w:w="0" w:type="dxa"/>
              <w:left w:w="108" w:type="dxa"/>
              <w:bottom w:w="0" w:type="dxa"/>
              <w:right w:w="108" w:type="dxa"/>
            </w:tcMar>
            <w:hideMark/>
          </w:tcPr>
          <w:p w14:paraId="5BA058F0" w14:textId="77777777" w:rsidR="002310D3" w:rsidRPr="00F16CDE" w:rsidRDefault="002310D3" w:rsidP="00A32FE9">
            <w:pPr>
              <w:pStyle w:val="TableText"/>
              <w:rPr>
                <w:rFonts w:eastAsiaTheme="minorHAnsi"/>
                <w:bCs/>
              </w:rPr>
            </w:pPr>
            <w:r w:rsidRPr="002310D3">
              <w:rPr>
                <w:bCs/>
              </w:rPr>
              <w:t>Tier 1 Support</w:t>
            </w:r>
          </w:p>
        </w:tc>
        <w:tc>
          <w:tcPr>
            <w:tcW w:w="474" w:type="pct"/>
            <w:shd w:val="clear" w:color="auto" w:fill="FFFFFF"/>
            <w:tcMar>
              <w:top w:w="0" w:type="dxa"/>
              <w:left w:w="108" w:type="dxa"/>
              <w:bottom w:w="0" w:type="dxa"/>
              <w:right w:w="108" w:type="dxa"/>
            </w:tcMar>
            <w:hideMark/>
          </w:tcPr>
          <w:p w14:paraId="5BA058F1" w14:textId="77777777" w:rsidR="002310D3" w:rsidRPr="00F16CDE" w:rsidRDefault="002310D3" w:rsidP="00A32FE9">
            <w:pPr>
              <w:pStyle w:val="TableText"/>
              <w:rPr>
                <w:rFonts w:eastAsiaTheme="minorHAnsi"/>
                <w:bCs/>
              </w:rPr>
            </w:pPr>
            <w:r w:rsidRPr="002310D3">
              <w:rPr>
                <w:bCs/>
              </w:rPr>
              <w:t>OI</w:t>
            </w:r>
            <w:r w:rsidR="000D6754">
              <w:rPr>
                <w:bCs/>
              </w:rPr>
              <w:t>&amp;</w:t>
            </w:r>
            <w:r w:rsidRPr="002310D3">
              <w:rPr>
                <w:bCs/>
              </w:rPr>
              <w:t>T</w:t>
            </w:r>
          </w:p>
        </w:tc>
        <w:tc>
          <w:tcPr>
            <w:tcW w:w="2471" w:type="pct"/>
            <w:shd w:val="clear" w:color="auto" w:fill="FFFFFF"/>
            <w:tcMar>
              <w:top w:w="0" w:type="dxa"/>
              <w:left w:w="108" w:type="dxa"/>
              <w:bottom w:w="0" w:type="dxa"/>
              <w:right w:w="108" w:type="dxa"/>
            </w:tcMar>
            <w:hideMark/>
          </w:tcPr>
          <w:p w14:paraId="5BA058F2" w14:textId="7DC690D0" w:rsidR="002310D3" w:rsidRPr="002310D3" w:rsidRDefault="0032253D" w:rsidP="00A32FE9">
            <w:pPr>
              <w:pStyle w:val="TableText"/>
              <w:rPr>
                <w:bCs/>
              </w:rPr>
            </w:pPr>
            <w:hyperlink r:id="rId11" w:history="1">
              <w:r w:rsidR="004C1233">
                <w:rPr>
                  <w:rStyle w:val="Hyperlink"/>
                  <w:bCs/>
                </w:rPr>
                <w:t>PII</w:t>
              </w:r>
            </w:hyperlink>
            <w:r w:rsidR="002310D3" w:rsidRPr="002310D3">
              <w:rPr>
                <w:bCs/>
              </w:rPr>
              <w:t> </w:t>
            </w:r>
          </w:p>
          <w:p w14:paraId="5BA058F3" w14:textId="19EEFD79" w:rsidR="002310D3" w:rsidRPr="00F16CDE" w:rsidRDefault="004C1233" w:rsidP="00A32FE9">
            <w:pPr>
              <w:pStyle w:val="TableText"/>
              <w:rPr>
                <w:rFonts w:eastAsiaTheme="minorHAnsi"/>
                <w:bCs/>
              </w:rPr>
            </w:pPr>
            <w:r w:rsidRPr="004C1233">
              <w:t>PII</w:t>
            </w:r>
          </w:p>
        </w:tc>
      </w:tr>
      <w:tr w:rsidR="002310D3" w:rsidRPr="002310D3" w14:paraId="5BA058FF" w14:textId="77777777" w:rsidTr="001B4BDB">
        <w:trPr>
          <w:trHeight w:val="541"/>
        </w:trPr>
        <w:tc>
          <w:tcPr>
            <w:tcW w:w="1397" w:type="pct"/>
            <w:shd w:val="clear" w:color="auto" w:fill="FFFFFF"/>
            <w:tcMar>
              <w:top w:w="0" w:type="dxa"/>
              <w:left w:w="108" w:type="dxa"/>
              <w:bottom w:w="0" w:type="dxa"/>
              <w:right w:w="108" w:type="dxa"/>
            </w:tcMar>
            <w:hideMark/>
          </w:tcPr>
          <w:p w14:paraId="5BA058FA" w14:textId="77777777" w:rsidR="002310D3" w:rsidRPr="00F16CDE" w:rsidRDefault="002310D3" w:rsidP="00A32FE9">
            <w:pPr>
              <w:pStyle w:val="TableText"/>
              <w:rPr>
                <w:rFonts w:eastAsiaTheme="minorHAnsi"/>
                <w:bCs/>
              </w:rPr>
            </w:pPr>
            <w:r w:rsidRPr="002310D3">
              <w:rPr>
                <w:bCs/>
              </w:rPr>
              <w:t>Health Product Support</w:t>
            </w:r>
          </w:p>
        </w:tc>
        <w:tc>
          <w:tcPr>
            <w:tcW w:w="658" w:type="pct"/>
            <w:shd w:val="clear" w:color="auto" w:fill="FFFFFF"/>
            <w:tcMar>
              <w:top w:w="0" w:type="dxa"/>
              <w:left w:w="108" w:type="dxa"/>
              <w:bottom w:w="0" w:type="dxa"/>
              <w:right w:w="108" w:type="dxa"/>
            </w:tcMar>
            <w:hideMark/>
          </w:tcPr>
          <w:p w14:paraId="5BA058FB" w14:textId="77777777" w:rsidR="002310D3" w:rsidRPr="00F16CDE" w:rsidRDefault="002310D3" w:rsidP="00A32FE9">
            <w:pPr>
              <w:pStyle w:val="TableText"/>
              <w:rPr>
                <w:rFonts w:eastAsiaTheme="minorHAnsi"/>
                <w:bCs/>
              </w:rPr>
            </w:pPr>
            <w:r w:rsidRPr="002310D3">
              <w:rPr>
                <w:bCs/>
              </w:rPr>
              <w:t>Tier 2 Support</w:t>
            </w:r>
          </w:p>
        </w:tc>
        <w:tc>
          <w:tcPr>
            <w:tcW w:w="474" w:type="pct"/>
            <w:shd w:val="clear" w:color="auto" w:fill="FFFFFF"/>
            <w:tcMar>
              <w:top w:w="0" w:type="dxa"/>
              <w:left w:w="108" w:type="dxa"/>
              <w:bottom w:w="0" w:type="dxa"/>
              <w:right w:w="108" w:type="dxa"/>
            </w:tcMar>
            <w:hideMark/>
          </w:tcPr>
          <w:p w14:paraId="5BA058FC" w14:textId="77777777" w:rsidR="002310D3" w:rsidRPr="00F16CDE" w:rsidRDefault="002310D3" w:rsidP="00A32FE9">
            <w:pPr>
              <w:pStyle w:val="TableText"/>
              <w:rPr>
                <w:rFonts w:eastAsiaTheme="minorHAnsi"/>
                <w:bCs/>
              </w:rPr>
            </w:pPr>
            <w:r w:rsidRPr="002310D3">
              <w:rPr>
                <w:bCs/>
              </w:rPr>
              <w:t>VHA</w:t>
            </w:r>
          </w:p>
        </w:tc>
        <w:tc>
          <w:tcPr>
            <w:tcW w:w="2471" w:type="pct"/>
            <w:shd w:val="clear" w:color="auto" w:fill="FFFFFF"/>
            <w:tcMar>
              <w:top w:w="0" w:type="dxa"/>
              <w:left w:w="108" w:type="dxa"/>
              <w:bottom w:w="0" w:type="dxa"/>
              <w:right w:w="108" w:type="dxa"/>
            </w:tcMar>
            <w:hideMark/>
          </w:tcPr>
          <w:p w14:paraId="5BA058FD" w14:textId="51C463B6" w:rsidR="002310D3" w:rsidRPr="002310D3" w:rsidRDefault="0032253D" w:rsidP="00A32FE9">
            <w:pPr>
              <w:pStyle w:val="TableText"/>
              <w:rPr>
                <w:bCs/>
              </w:rPr>
            </w:pPr>
            <w:hyperlink r:id="rId12" w:history="1">
              <w:r w:rsidR="004C1233">
                <w:rPr>
                  <w:rStyle w:val="Hyperlink"/>
                  <w:bCs/>
                </w:rPr>
                <w:t>PII</w:t>
              </w:r>
            </w:hyperlink>
            <w:r w:rsidR="002310D3" w:rsidRPr="002310D3">
              <w:rPr>
                <w:bCs/>
              </w:rPr>
              <w:t> </w:t>
            </w:r>
          </w:p>
          <w:p w14:paraId="5BA058FE" w14:textId="1C9FAE50" w:rsidR="002310D3" w:rsidRPr="00F16CDE" w:rsidRDefault="004C1233" w:rsidP="00A32FE9">
            <w:pPr>
              <w:pStyle w:val="TableText"/>
              <w:rPr>
                <w:rFonts w:eastAsiaTheme="minorHAnsi"/>
                <w:bCs/>
              </w:rPr>
            </w:pPr>
            <w:r w:rsidRPr="004C1233">
              <w:t>PII</w:t>
            </w:r>
          </w:p>
        </w:tc>
      </w:tr>
      <w:tr w:rsidR="002310D3" w:rsidRPr="002310D3" w14:paraId="5BA05905" w14:textId="77777777" w:rsidTr="001B4BDB">
        <w:trPr>
          <w:trHeight w:val="541"/>
        </w:trPr>
        <w:tc>
          <w:tcPr>
            <w:tcW w:w="1397" w:type="pct"/>
            <w:shd w:val="clear" w:color="auto" w:fill="FFFFFF"/>
            <w:tcMar>
              <w:top w:w="0" w:type="dxa"/>
              <w:left w:w="108" w:type="dxa"/>
              <w:bottom w:w="0" w:type="dxa"/>
              <w:right w:w="108" w:type="dxa"/>
            </w:tcMar>
            <w:hideMark/>
          </w:tcPr>
          <w:p w14:paraId="5BA05900" w14:textId="77777777" w:rsidR="002310D3" w:rsidRPr="00F16CDE" w:rsidRDefault="002310D3" w:rsidP="00A32FE9">
            <w:pPr>
              <w:pStyle w:val="TableText"/>
              <w:rPr>
                <w:rFonts w:eastAsiaTheme="minorHAnsi"/>
                <w:bCs/>
              </w:rPr>
            </w:pPr>
            <w:r w:rsidRPr="002310D3">
              <w:rPr>
                <w:bCs/>
              </w:rPr>
              <w:t>OI</w:t>
            </w:r>
            <w:r w:rsidR="009C4236">
              <w:rPr>
                <w:bCs/>
              </w:rPr>
              <w:t>&amp;</w:t>
            </w:r>
            <w:r w:rsidRPr="002310D3">
              <w:rPr>
                <w:bCs/>
              </w:rPr>
              <w:t>T System Admin/Field Operation Support</w:t>
            </w:r>
          </w:p>
        </w:tc>
        <w:tc>
          <w:tcPr>
            <w:tcW w:w="658" w:type="pct"/>
            <w:shd w:val="clear" w:color="auto" w:fill="FFFFFF"/>
            <w:tcMar>
              <w:top w:w="0" w:type="dxa"/>
              <w:left w:w="108" w:type="dxa"/>
              <w:bottom w:w="0" w:type="dxa"/>
              <w:right w:w="108" w:type="dxa"/>
            </w:tcMar>
          </w:tcPr>
          <w:p w14:paraId="5BA05901" w14:textId="77777777" w:rsidR="002310D3" w:rsidRPr="00F16CDE" w:rsidRDefault="002310D3" w:rsidP="00A32FE9">
            <w:pPr>
              <w:pStyle w:val="TableText"/>
              <w:rPr>
                <w:rFonts w:eastAsiaTheme="minorHAnsi"/>
                <w:bCs/>
              </w:rPr>
            </w:pPr>
            <w:r w:rsidRPr="002310D3">
              <w:rPr>
                <w:bCs/>
              </w:rPr>
              <w:t xml:space="preserve">Tier 2 &amp; 3 support </w:t>
            </w:r>
          </w:p>
        </w:tc>
        <w:tc>
          <w:tcPr>
            <w:tcW w:w="474" w:type="pct"/>
            <w:shd w:val="clear" w:color="auto" w:fill="FFFFFF"/>
            <w:tcMar>
              <w:top w:w="0" w:type="dxa"/>
              <w:left w:w="108" w:type="dxa"/>
              <w:bottom w:w="0" w:type="dxa"/>
              <w:right w:w="108" w:type="dxa"/>
            </w:tcMar>
            <w:hideMark/>
          </w:tcPr>
          <w:p w14:paraId="5BA05902" w14:textId="77777777" w:rsidR="002310D3" w:rsidRPr="00F16CDE" w:rsidRDefault="002310D3" w:rsidP="00A32FE9">
            <w:pPr>
              <w:pStyle w:val="TableText"/>
              <w:rPr>
                <w:rFonts w:eastAsiaTheme="minorHAnsi"/>
                <w:bCs/>
              </w:rPr>
            </w:pPr>
            <w:r w:rsidRPr="002310D3">
              <w:rPr>
                <w:bCs/>
              </w:rPr>
              <w:t>OI</w:t>
            </w:r>
            <w:r w:rsidR="000D6754">
              <w:rPr>
                <w:bCs/>
              </w:rPr>
              <w:t>&amp;</w:t>
            </w:r>
            <w:r w:rsidRPr="002310D3">
              <w:rPr>
                <w:bCs/>
              </w:rPr>
              <w:t>T</w:t>
            </w:r>
          </w:p>
        </w:tc>
        <w:tc>
          <w:tcPr>
            <w:tcW w:w="2471" w:type="pct"/>
            <w:shd w:val="clear" w:color="auto" w:fill="FFFFFF"/>
            <w:tcMar>
              <w:top w:w="0" w:type="dxa"/>
              <w:left w:w="108" w:type="dxa"/>
              <w:bottom w:w="0" w:type="dxa"/>
              <w:right w:w="108" w:type="dxa"/>
            </w:tcMar>
            <w:hideMark/>
          </w:tcPr>
          <w:p w14:paraId="5BA05903" w14:textId="51053488" w:rsidR="002310D3" w:rsidRPr="002310D3" w:rsidRDefault="0032253D" w:rsidP="00A32FE9">
            <w:pPr>
              <w:pStyle w:val="TableText"/>
              <w:rPr>
                <w:bCs/>
              </w:rPr>
            </w:pPr>
            <w:hyperlink r:id="rId13" w:history="1">
              <w:r w:rsidR="004C1233">
                <w:rPr>
                  <w:rStyle w:val="Hyperlink"/>
                  <w:bCs/>
                </w:rPr>
                <w:t>PII</w:t>
              </w:r>
            </w:hyperlink>
            <w:r w:rsidR="002310D3" w:rsidRPr="002310D3">
              <w:rPr>
                <w:bCs/>
              </w:rPr>
              <w:t> </w:t>
            </w:r>
          </w:p>
          <w:p w14:paraId="5BA05904" w14:textId="3E044E1D" w:rsidR="002310D3" w:rsidRPr="00F16CDE" w:rsidRDefault="004C1233" w:rsidP="00A32FE9">
            <w:pPr>
              <w:pStyle w:val="TableText"/>
              <w:rPr>
                <w:rFonts w:eastAsiaTheme="minorHAnsi"/>
                <w:bCs/>
              </w:rPr>
            </w:pPr>
            <w:r w:rsidRPr="004C1233">
              <w:t>PII</w:t>
            </w:r>
          </w:p>
        </w:tc>
      </w:tr>
      <w:tr w:rsidR="002310D3" w:rsidRPr="002310D3" w14:paraId="5BA0590B" w14:textId="77777777" w:rsidTr="001B4BDB">
        <w:trPr>
          <w:trHeight w:val="541"/>
        </w:trPr>
        <w:tc>
          <w:tcPr>
            <w:tcW w:w="1397" w:type="pct"/>
            <w:shd w:val="clear" w:color="auto" w:fill="FFFFFF"/>
            <w:tcMar>
              <w:top w:w="0" w:type="dxa"/>
              <w:left w:w="108" w:type="dxa"/>
              <w:bottom w:w="0" w:type="dxa"/>
              <w:right w:w="108" w:type="dxa"/>
            </w:tcMar>
            <w:hideMark/>
          </w:tcPr>
          <w:p w14:paraId="5BA05906" w14:textId="77777777" w:rsidR="002310D3" w:rsidRPr="00F16CDE" w:rsidRDefault="002310D3" w:rsidP="00A32FE9">
            <w:pPr>
              <w:pStyle w:val="TableText"/>
              <w:rPr>
                <w:rFonts w:eastAsiaTheme="minorHAnsi"/>
                <w:bCs/>
              </w:rPr>
            </w:pPr>
            <w:r w:rsidRPr="002310D3">
              <w:rPr>
                <w:bCs/>
              </w:rPr>
              <w:t>VistA Patch Maintenance</w:t>
            </w:r>
          </w:p>
        </w:tc>
        <w:tc>
          <w:tcPr>
            <w:tcW w:w="658" w:type="pct"/>
            <w:shd w:val="clear" w:color="auto" w:fill="FFFFFF"/>
            <w:tcMar>
              <w:top w:w="0" w:type="dxa"/>
              <w:left w:w="108" w:type="dxa"/>
              <w:bottom w:w="0" w:type="dxa"/>
              <w:right w:w="108" w:type="dxa"/>
            </w:tcMar>
            <w:hideMark/>
          </w:tcPr>
          <w:p w14:paraId="5BA05907" w14:textId="77777777" w:rsidR="002310D3" w:rsidRPr="00F16CDE" w:rsidRDefault="002310D3" w:rsidP="00A32FE9">
            <w:pPr>
              <w:pStyle w:val="TableText"/>
              <w:rPr>
                <w:rFonts w:eastAsiaTheme="minorHAnsi"/>
                <w:bCs/>
              </w:rPr>
            </w:pPr>
            <w:r w:rsidRPr="002310D3">
              <w:rPr>
                <w:bCs/>
              </w:rPr>
              <w:t>Tier 3 Application Support</w:t>
            </w:r>
          </w:p>
        </w:tc>
        <w:tc>
          <w:tcPr>
            <w:tcW w:w="474" w:type="pct"/>
            <w:shd w:val="clear" w:color="auto" w:fill="FFFFFF"/>
            <w:tcMar>
              <w:top w:w="0" w:type="dxa"/>
              <w:left w:w="108" w:type="dxa"/>
              <w:bottom w:w="0" w:type="dxa"/>
              <w:right w:w="108" w:type="dxa"/>
            </w:tcMar>
            <w:hideMark/>
          </w:tcPr>
          <w:p w14:paraId="5BA05908" w14:textId="77777777" w:rsidR="002310D3" w:rsidRPr="00F16CDE" w:rsidRDefault="002310D3" w:rsidP="00A32FE9">
            <w:pPr>
              <w:pStyle w:val="TableText"/>
              <w:rPr>
                <w:rFonts w:eastAsiaTheme="minorHAnsi"/>
                <w:bCs/>
              </w:rPr>
            </w:pPr>
            <w:r w:rsidRPr="002310D3">
              <w:rPr>
                <w:bCs/>
              </w:rPr>
              <w:t>OI</w:t>
            </w:r>
            <w:r w:rsidR="000D6754">
              <w:rPr>
                <w:bCs/>
              </w:rPr>
              <w:t>&amp;</w:t>
            </w:r>
            <w:r w:rsidRPr="002310D3">
              <w:rPr>
                <w:bCs/>
              </w:rPr>
              <w:t>T</w:t>
            </w:r>
          </w:p>
        </w:tc>
        <w:tc>
          <w:tcPr>
            <w:tcW w:w="2471" w:type="pct"/>
            <w:shd w:val="clear" w:color="auto" w:fill="FFFFFF"/>
            <w:tcMar>
              <w:top w:w="0" w:type="dxa"/>
              <w:left w:w="108" w:type="dxa"/>
              <w:bottom w:w="0" w:type="dxa"/>
              <w:right w:w="108" w:type="dxa"/>
            </w:tcMar>
            <w:hideMark/>
          </w:tcPr>
          <w:p w14:paraId="5BA05909" w14:textId="7A340FEA" w:rsidR="002310D3" w:rsidRPr="002310D3" w:rsidRDefault="0032253D" w:rsidP="00A32FE9">
            <w:pPr>
              <w:pStyle w:val="TableText"/>
              <w:rPr>
                <w:bCs/>
              </w:rPr>
            </w:pPr>
            <w:hyperlink r:id="rId14" w:history="1">
              <w:r w:rsidR="004C1233">
                <w:rPr>
                  <w:rStyle w:val="Hyperlink"/>
                  <w:bCs/>
                </w:rPr>
                <w:t>PII</w:t>
              </w:r>
            </w:hyperlink>
            <w:r w:rsidR="002310D3" w:rsidRPr="002310D3">
              <w:rPr>
                <w:bCs/>
              </w:rPr>
              <w:t> </w:t>
            </w:r>
          </w:p>
          <w:p w14:paraId="5BA0590A" w14:textId="04F3E660" w:rsidR="002310D3" w:rsidRPr="00F16CDE" w:rsidRDefault="004C1233" w:rsidP="00A32FE9">
            <w:pPr>
              <w:pStyle w:val="TableText"/>
              <w:rPr>
                <w:rFonts w:eastAsiaTheme="minorHAnsi"/>
                <w:bCs/>
              </w:rPr>
            </w:pPr>
            <w:r w:rsidRPr="004C1233">
              <w:t>PII</w:t>
            </w:r>
          </w:p>
        </w:tc>
      </w:tr>
    </w:tbl>
    <w:p w14:paraId="5BA05911" w14:textId="77777777" w:rsidR="00080748" w:rsidRDefault="00080748" w:rsidP="00AA618B">
      <w:pPr>
        <w:pStyle w:val="Heading1"/>
      </w:pPr>
      <w:bookmarkStart w:id="29" w:name="_Toc506368262"/>
      <w:r>
        <w:t>System Summary</w:t>
      </w:r>
      <w:bookmarkEnd w:id="29"/>
    </w:p>
    <w:p w14:paraId="5BA05912" w14:textId="77777777" w:rsidR="00080748" w:rsidRDefault="00080748" w:rsidP="00080748">
      <w:pPr>
        <w:pStyle w:val="InstructionalText1"/>
      </w:pPr>
      <w:r>
        <w:t>This section</w:t>
      </w:r>
      <w:r w:rsidR="00315667">
        <w:t xml:space="preserve"> should</w:t>
      </w:r>
      <w:r>
        <w:t xml:space="preserve"> provide a general </w:t>
      </w:r>
      <w:r w:rsidR="003B70C6">
        <w:t>description</w:t>
      </w:r>
      <w:r>
        <w:t xml:space="preserve"> of the system written in non-technical terminology</w:t>
      </w:r>
      <w:r w:rsidR="00315667">
        <w:t xml:space="preserve"> </w:t>
      </w:r>
      <w:r w:rsidR="00315667" w:rsidRPr="00786671">
        <w:t>and the purpose for which it is intended</w:t>
      </w:r>
      <w:r w:rsidR="00315667">
        <w:t xml:space="preserve">. </w:t>
      </w:r>
      <w:r w:rsidR="00315667" w:rsidRPr="00786671">
        <w:t>The description should include a high-level system diagram with brief explanatory text.</w:t>
      </w:r>
      <w:r w:rsidR="00315667">
        <w:t xml:space="preserve"> </w:t>
      </w:r>
      <w:r>
        <w:t>The summary should outline the uses of the system in supporting the activities of the user and staff.</w:t>
      </w:r>
    </w:p>
    <w:p w14:paraId="5BA05913" w14:textId="664BFFC5" w:rsidR="00706211" w:rsidRDefault="00706211" w:rsidP="00706211">
      <w:pPr>
        <w:pStyle w:val="InstructionalBullet1"/>
      </w:pPr>
      <w:r>
        <w:t>List and describe the major functions performed by the system</w:t>
      </w:r>
    </w:p>
    <w:p w14:paraId="5BA05914" w14:textId="352EFA7B" w:rsidR="00706211" w:rsidRDefault="00706211" w:rsidP="00706211">
      <w:pPr>
        <w:pStyle w:val="InstructionalBullet1"/>
      </w:pPr>
      <w:r>
        <w:t xml:space="preserve">Describe the architecture of the system in non-technical terms, (e.g., client/server, </w:t>
      </w:r>
      <w:r w:rsidR="004F226E">
        <w:t>w</w:t>
      </w:r>
      <w:r>
        <w:t>eb-based, etc.)</w:t>
      </w:r>
    </w:p>
    <w:p w14:paraId="5BA05915" w14:textId="4EF912F7" w:rsidR="00706211" w:rsidRDefault="00706211" w:rsidP="00706211">
      <w:pPr>
        <w:pStyle w:val="InstructionalBullet1"/>
      </w:pPr>
      <w:r>
        <w:t>User access mode, (e.g., graphical user interface)</w:t>
      </w:r>
    </w:p>
    <w:p w14:paraId="5BA05916" w14:textId="1B7768B8" w:rsidR="00706211" w:rsidRDefault="00706211" w:rsidP="00706211">
      <w:pPr>
        <w:pStyle w:val="InstructionalBullet1"/>
      </w:pPr>
      <w:r>
        <w:t>Responsible organization</w:t>
      </w:r>
    </w:p>
    <w:p w14:paraId="5BA05917" w14:textId="700C1B12" w:rsidR="00706211" w:rsidRDefault="00706211" w:rsidP="00706211">
      <w:pPr>
        <w:pStyle w:val="InstructionalBullet1"/>
      </w:pPr>
      <w:r>
        <w:t>System name or title</w:t>
      </w:r>
    </w:p>
    <w:p w14:paraId="5BA05918" w14:textId="44596971" w:rsidR="00357285" w:rsidRDefault="00357285" w:rsidP="00315667">
      <w:pPr>
        <w:pStyle w:val="InstructionalBullet1"/>
      </w:pPr>
      <w:r>
        <w:t>System environment factors (e.g., memory requirements, browser release, plugins, display resolution, etc.)</w:t>
      </w:r>
    </w:p>
    <w:p w14:paraId="71B08FE9" w14:textId="77777777" w:rsidR="00371334" w:rsidRDefault="00CC1EB6" w:rsidP="00CC1EB6">
      <w:pPr>
        <w:pStyle w:val="BodyText"/>
      </w:pPr>
      <w:r>
        <w:t xml:space="preserve">Provider Utilities is a </w:t>
      </w:r>
      <w:r w:rsidR="00337769">
        <w:t xml:space="preserve">client-server </w:t>
      </w:r>
      <w:r>
        <w:t>GUI application that enables users to reassign existing orders from a provider who i</w:t>
      </w:r>
      <w:r w:rsidR="00371334">
        <w:t xml:space="preserve">s changing roles </w:t>
      </w:r>
      <w:r>
        <w:t xml:space="preserve">but remaining at the same location to other providers as </w:t>
      </w:r>
      <w:r>
        <w:lastRenderedPageBreak/>
        <w:t xml:space="preserve">decided by clinical staff. </w:t>
      </w:r>
      <w:r w:rsidR="00371334">
        <w:t xml:space="preserve">An example would be if a provider was working for VA, but then took a position with a Department of Defense collocated site, then the user would still be there, but would no longer be responsible for the VA patients. </w:t>
      </w:r>
    </w:p>
    <w:p w14:paraId="692347C2" w14:textId="28619E6B" w:rsidR="00CC1EB6" w:rsidRDefault="00CC1EB6" w:rsidP="00CC1EB6">
      <w:pPr>
        <w:pStyle w:val="BodyText"/>
      </w:pPr>
      <w:r>
        <w:t>The Provider Utilities GUI is a front end application that int</w:t>
      </w:r>
      <w:r w:rsidR="004402B7">
        <w:t xml:space="preserve">eracts with the VistA database using CPRS communication protocols and affects which users receive notifications. </w:t>
      </w:r>
    </w:p>
    <w:p w14:paraId="06D85513" w14:textId="20AAB18F" w:rsidR="00F244B9" w:rsidRDefault="00F244B9" w:rsidP="00F244B9">
      <w:pPr>
        <w:pStyle w:val="BodyText"/>
      </w:pPr>
      <w:r>
        <w:t xml:space="preserve">To launch Provider Utilities, users will either select an item from the CPRS Tools menu or Provider Utilities can be launched from an icon. The user will have to log in whether the application is launched from the CPRS Tools menu or from an icon. </w:t>
      </w:r>
    </w:p>
    <w:p w14:paraId="3B3CA5A0" w14:textId="0EA498C9" w:rsidR="00F244B9" w:rsidRDefault="00F244B9" w:rsidP="00F244B9">
      <w:pPr>
        <w:pStyle w:val="BodyText"/>
      </w:pPr>
      <w:r>
        <w:t>Once logged in, the use can select the provider whose orders need to be changed and the date range for those orders. After selecting the provider, patients with orders from the selected provider display on the left of the window.</w:t>
      </w:r>
    </w:p>
    <w:p w14:paraId="78C3E7E8" w14:textId="77777777" w:rsidR="00F244B9" w:rsidRDefault="00F244B9" w:rsidP="00F244B9">
      <w:pPr>
        <w:pStyle w:val="BodyText"/>
      </w:pPr>
    </w:p>
    <w:p w14:paraId="6A638453" w14:textId="77777777" w:rsidR="00F244B9" w:rsidRDefault="00F244B9" w:rsidP="00CC1EB6">
      <w:pPr>
        <w:pStyle w:val="BodyText"/>
      </w:pPr>
    </w:p>
    <w:p w14:paraId="5BA05919" w14:textId="77777777" w:rsidR="00080748" w:rsidRPr="001E7CFE" w:rsidRDefault="00080748" w:rsidP="00AA618B">
      <w:pPr>
        <w:pStyle w:val="Heading2"/>
      </w:pPr>
      <w:bookmarkStart w:id="30" w:name="_Toc506368263"/>
      <w:r w:rsidRPr="001E7CFE">
        <w:t>System Configuration</w:t>
      </w:r>
      <w:bookmarkEnd w:id="30"/>
    </w:p>
    <w:p w14:paraId="47796548" w14:textId="2DE8D111" w:rsidR="00A32FE9" w:rsidRPr="00A32FE9" w:rsidRDefault="00A32FE9" w:rsidP="00A32FE9">
      <w:pPr>
        <w:pStyle w:val="BodyText"/>
      </w:pPr>
      <w:r>
        <w:t>Provider Utilities runs on workstations that also have CPRS on them. It communicates back and forth with servers that then interact with the VistA database as shown below.</w:t>
      </w:r>
    </w:p>
    <w:p w14:paraId="385F25BF" w14:textId="1F143639" w:rsidR="00D63930" w:rsidRDefault="00A32FE9" w:rsidP="00D63930">
      <w:pPr>
        <w:pStyle w:val="BodyText"/>
      </w:pPr>
      <w:r>
        <w:rPr>
          <w:noProof/>
        </w:rPr>
        <w:lastRenderedPageBreak/>
        <w:drawing>
          <wp:inline distT="0" distB="0" distL="0" distR="0" wp14:anchorId="6570EA58" wp14:editId="69AA5B31">
            <wp:extent cx="4086225" cy="4695825"/>
            <wp:effectExtent l="0" t="0" r="9525" b="9525"/>
            <wp:docPr id="14" name="Picture 14" descr="This graphic shows the hardware and comminication for the Provider Utilities appli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_Util_main_hardware_comm_diag_2018-01-30.gif"/>
                    <pic:cNvPicPr/>
                  </pic:nvPicPr>
                  <pic:blipFill>
                    <a:blip r:embed="rId15">
                      <a:extLst>
                        <a:ext uri="{28A0092B-C50C-407E-A947-70E740481C1C}">
                          <a14:useLocalDpi xmlns:a14="http://schemas.microsoft.com/office/drawing/2010/main" val="0"/>
                        </a:ext>
                      </a:extLst>
                    </a:blip>
                    <a:stretch>
                      <a:fillRect/>
                    </a:stretch>
                  </pic:blipFill>
                  <pic:spPr>
                    <a:xfrm>
                      <a:off x="0" y="0"/>
                      <a:ext cx="4086225" cy="4695825"/>
                    </a:xfrm>
                    <a:prstGeom prst="rect">
                      <a:avLst/>
                    </a:prstGeom>
                  </pic:spPr>
                </pic:pic>
              </a:graphicData>
            </a:graphic>
          </wp:inline>
        </w:drawing>
      </w:r>
    </w:p>
    <w:p w14:paraId="57A934BE" w14:textId="77777777" w:rsidR="00A32FE9" w:rsidRPr="00D63930" w:rsidRDefault="00A32FE9" w:rsidP="00D63930">
      <w:pPr>
        <w:pStyle w:val="BodyText"/>
      </w:pPr>
    </w:p>
    <w:p w14:paraId="5BA0591D" w14:textId="77777777" w:rsidR="00080748" w:rsidRDefault="00080748" w:rsidP="00AA618B">
      <w:pPr>
        <w:pStyle w:val="Heading2"/>
      </w:pPr>
      <w:bookmarkStart w:id="31" w:name="_Toc506368264"/>
      <w:r>
        <w:t>Data Flows</w:t>
      </w:r>
      <w:bookmarkEnd w:id="31"/>
    </w:p>
    <w:p w14:paraId="5BA05920" w14:textId="052C702C" w:rsidR="00FC3958" w:rsidRPr="00BB02B0" w:rsidRDefault="00BC51B7" w:rsidP="00BC51B7">
      <w:pPr>
        <w:pStyle w:val="BodyText"/>
      </w:pPr>
      <w:r>
        <w:t>See above.</w:t>
      </w:r>
    </w:p>
    <w:p w14:paraId="5BA05921" w14:textId="77777777" w:rsidR="00080748" w:rsidRDefault="00080748" w:rsidP="00AA618B">
      <w:pPr>
        <w:pStyle w:val="Heading2"/>
      </w:pPr>
      <w:bookmarkStart w:id="32" w:name="_Toc506368265"/>
      <w:r>
        <w:t>User Access Levels</w:t>
      </w:r>
      <w:bookmarkEnd w:id="32"/>
    </w:p>
    <w:p w14:paraId="5BA05922" w14:textId="18BFD9E6" w:rsidR="002243EB" w:rsidRDefault="00642E7E" w:rsidP="00642E7E">
      <w:pPr>
        <w:pStyle w:val="BodyText"/>
      </w:pPr>
      <w:r>
        <w:t xml:space="preserve">Because users will launch the Provider Utilities application from the CPRS Tools menu, they must have access to the CPRS application. In addition, only users who have been assigned the OR PU ACCESS key may use the Provider Utilities application. </w:t>
      </w:r>
    </w:p>
    <w:p w14:paraId="5BA05923" w14:textId="77777777" w:rsidR="00080748" w:rsidRDefault="00172699" w:rsidP="00AA618B">
      <w:pPr>
        <w:pStyle w:val="Heading2"/>
      </w:pPr>
      <w:bookmarkStart w:id="33" w:name="_Toc506368266"/>
      <w:r>
        <w:t>Continuity</w:t>
      </w:r>
      <w:r w:rsidR="00080748">
        <w:t xml:space="preserve"> of Operation</w:t>
      </w:r>
      <w:bookmarkEnd w:id="33"/>
    </w:p>
    <w:p w14:paraId="5BA05924" w14:textId="26BDB038" w:rsidR="00080748" w:rsidRDefault="00F3197C" w:rsidP="00511119">
      <w:pPr>
        <w:pStyle w:val="BodyText"/>
      </w:pPr>
      <w:r>
        <w:t xml:space="preserve">As long as the VistA database is functioning and can be accessed, Provider Utilities should be available. </w:t>
      </w:r>
      <w:r w:rsidR="00511119">
        <w:t xml:space="preserve">The protection of data and other items are related to the VistA database, not Provider Utilities. </w:t>
      </w:r>
    </w:p>
    <w:p w14:paraId="5BA05925" w14:textId="77777777" w:rsidR="00080748" w:rsidRDefault="00080748" w:rsidP="00AA618B">
      <w:pPr>
        <w:pStyle w:val="Heading1"/>
      </w:pPr>
      <w:bookmarkStart w:id="34" w:name="_Toc506368267"/>
      <w:r>
        <w:lastRenderedPageBreak/>
        <w:t>Getting Started</w:t>
      </w:r>
      <w:bookmarkEnd w:id="34"/>
    </w:p>
    <w:p w14:paraId="5BA05928" w14:textId="77777777" w:rsidR="00080748" w:rsidRDefault="00080748" w:rsidP="00766F0B">
      <w:pPr>
        <w:pStyle w:val="Heading2"/>
      </w:pPr>
      <w:bookmarkStart w:id="35" w:name="_Toc506368268"/>
      <w:r>
        <w:t>Logging On</w:t>
      </w:r>
      <w:bookmarkEnd w:id="35"/>
    </w:p>
    <w:p w14:paraId="26FB3731" w14:textId="27582A9D" w:rsidR="009E1761" w:rsidRDefault="00045726" w:rsidP="009E1761">
      <w:pPr>
        <w:pStyle w:val="BodyText"/>
      </w:pPr>
      <w:r>
        <w:t>User</w:t>
      </w:r>
      <w:r w:rsidR="000D30B8">
        <w:t>s</w:t>
      </w:r>
      <w:r>
        <w:t xml:space="preserve"> can launch </w:t>
      </w:r>
      <w:r w:rsidR="009E1761">
        <w:t xml:space="preserve">Provider Utilities </w:t>
      </w:r>
      <w:r>
        <w:t xml:space="preserve">directly from an icon or from </w:t>
      </w:r>
      <w:r w:rsidR="009E1761">
        <w:t xml:space="preserve">the CPRS Tools menu. </w:t>
      </w:r>
      <w:r w:rsidR="00C874AB">
        <w:t xml:space="preserve">If the site chooses to use Provider Utilities from the Tools menu, </w:t>
      </w:r>
      <w:r w:rsidR="009E1761">
        <w:t>CACs or other support personnel will have to add a menu item on the Tools menu for users who will reassign orders using the Provider Utilities GUI application.</w:t>
      </w:r>
    </w:p>
    <w:p w14:paraId="566F1BE1" w14:textId="0ED3D745" w:rsidR="00045726" w:rsidRPr="009E1761" w:rsidRDefault="00045726" w:rsidP="009E1761">
      <w:pPr>
        <w:pStyle w:val="BodyText"/>
      </w:pPr>
      <w:r>
        <w:t xml:space="preserve">When the Provider Utilities GUI application is launched, the user will be presented with a login screen. </w:t>
      </w:r>
    </w:p>
    <w:p w14:paraId="5BA0592A" w14:textId="77777777" w:rsidR="00080748" w:rsidRDefault="00080748" w:rsidP="00AA618B">
      <w:pPr>
        <w:pStyle w:val="Heading2"/>
      </w:pPr>
      <w:bookmarkStart w:id="36" w:name="_Toc506368269"/>
      <w:r>
        <w:t>System Menu</w:t>
      </w:r>
      <w:bookmarkEnd w:id="36"/>
    </w:p>
    <w:p w14:paraId="0A02E312" w14:textId="3FF5301D" w:rsidR="000E5F80" w:rsidRDefault="00DA2072" w:rsidP="000E5F80">
      <w:pPr>
        <w:pStyle w:val="Heading3"/>
      </w:pPr>
      <w:bookmarkStart w:id="37" w:name="_Toc506368270"/>
      <w:r>
        <w:t>Logging i</w:t>
      </w:r>
      <w:r w:rsidR="000E5F80">
        <w:t>n to Provider Utilities</w:t>
      </w:r>
      <w:bookmarkEnd w:id="37"/>
    </w:p>
    <w:p w14:paraId="05A7F64C" w14:textId="77777777" w:rsidR="00DB59BC" w:rsidRDefault="00DC36C3" w:rsidP="00E235C4">
      <w:pPr>
        <w:pStyle w:val="BodyText"/>
      </w:pPr>
      <w:r>
        <w:t>When the user launches the Provider Utilities appl</w:t>
      </w:r>
      <w:r w:rsidR="00045726">
        <w:t>ication</w:t>
      </w:r>
      <w:r>
        <w:t>, the</w:t>
      </w:r>
      <w:r w:rsidR="00045726">
        <w:t xml:space="preserve"> application first </w:t>
      </w:r>
      <w:r w:rsidR="00DB59BC">
        <w:t xml:space="preserve">briefly </w:t>
      </w:r>
      <w:r w:rsidR="00045726">
        <w:t xml:space="preserve">displays </w:t>
      </w:r>
      <w:r w:rsidR="00C203F5">
        <w:t>a</w:t>
      </w:r>
      <w:r>
        <w:t xml:space="preserve"> </w:t>
      </w:r>
      <w:r w:rsidR="00DB59BC">
        <w:t xml:space="preserve">server connection dialog and then the </w:t>
      </w:r>
      <w:r>
        <w:t xml:space="preserve">login screen where the user enters his or her access and verify code. </w:t>
      </w:r>
    </w:p>
    <w:p w14:paraId="60DFE994" w14:textId="55D27A4E" w:rsidR="00E235C4" w:rsidRDefault="00DB59BC" w:rsidP="00E235C4">
      <w:pPr>
        <w:pStyle w:val="BodyText"/>
      </w:pPr>
      <w:r>
        <w:rPr>
          <w:noProof/>
          <w:sz w:val="16"/>
          <w:szCs w:val="16"/>
        </w:rPr>
        <w:drawing>
          <wp:inline distT="0" distB="0" distL="0" distR="0" wp14:anchorId="06AADA4F" wp14:editId="1F8BF3BF">
            <wp:extent cx="5943600" cy="3512185"/>
            <wp:effectExtent l="0" t="0" r="0" b="0"/>
            <wp:docPr id="13" name="Picture 13" descr="This screen capture shows the dialog that displays while the application is attempting to connect to the ser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er_dialog_2018-02-07.gif"/>
                    <pic:cNvPicPr/>
                  </pic:nvPicPr>
                  <pic:blipFill>
                    <a:blip r:embed="rId16">
                      <a:extLst>
                        <a:ext uri="{28A0092B-C50C-407E-A947-70E740481C1C}">
                          <a14:useLocalDpi xmlns:a14="http://schemas.microsoft.com/office/drawing/2010/main" val="0"/>
                        </a:ext>
                      </a:extLst>
                    </a:blip>
                    <a:stretch>
                      <a:fillRect/>
                    </a:stretch>
                  </pic:blipFill>
                  <pic:spPr>
                    <a:xfrm>
                      <a:off x="0" y="0"/>
                      <a:ext cx="5943600" cy="3512185"/>
                    </a:xfrm>
                    <a:prstGeom prst="rect">
                      <a:avLst/>
                    </a:prstGeom>
                  </pic:spPr>
                </pic:pic>
              </a:graphicData>
            </a:graphic>
          </wp:inline>
        </w:drawing>
      </w:r>
    </w:p>
    <w:p w14:paraId="77B6945B" w14:textId="66FC851B" w:rsidR="00DB59BC" w:rsidRDefault="00DB59BC" w:rsidP="00DB59BC">
      <w:pPr>
        <w:pStyle w:val="Caption"/>
      </w:pPr>
      <w:r>
        <w:t xml:space="preserve">Figure </w:t>
      </w:r>
      <w:fldSimple w:instr=" SEQ Figure \* ARABIC ">
        <w:r w:rsidR="002855B2">
          <w:rPr>
            <w:noProof/>
          </w:rPr>
          <w:t>2</w:t>
        </w:r>
      </w:fldSimple>
      <w:r>
        <w:t>: Provider Utilities server connection dialog</w:t>
      </w:r>
    </w:p>
    <w:p w14:paraId="29B02EB4" w14:textId="77777777" w:rsidR="00DB59BC" w:rsidRDefault="00DB59BC" w:rsidP="00DB59BC"/>
    <w:p w14:paraId="714E93B7" w14:textId="0D1A31AE" w:rsidR="004E1922" w:rsidRDefault="004E1922" w:rsidP="00DB59BC">
      <w:r>
        <w:t>Once it has connected to the server, the dialog will continue to display in the background while the login screen displays as shown below.</w:t>
      </w:r>
    </w:p>
    <w:p w14:paraId="4632274B" w14:textId="77777777" w:rsidR="004E1922" w:rsidRDefault="004E1922" w:rsidP="00DB59BC"/>
    <w:p w14:paraId="40F093FD" w14:textId="29FC099F" w:rsidR="004E1922" w:rsidRPr="00DB59BC" w:rsidRDefault="00F5721C" w:rsidP="00DB59BC">
      <w:r>
        <w:rPr>
          <w:noProof/>
        </w:rPr>
        <w:lastRenderedPageBreak/>
        <w:drawing>
          <wp:inline distT="0" distB="0" distL="0" distR="0" wp14:anchorId="4509DB13" wp14:editId="2FF585D1">
            <wp:extent cx="5943600" cy="4410710"/>
            <wp:effectExtent l="0" t="0" r="0" b="8890"/>
            <wp:docPr id="16" name="Picture 16" descr="This screen capture shows the login dialog for Provider utilities where the user enters the Access and Verify codes. Provider Utilities will use Two Factor Authent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_Util_logint_2018-02-07.gif"/>
                    <pic:cNvPicPr/>
                  </pic:nvPicPr>
                  <pic:blipFill>
                    <a:blip r:embed="rId17">
                      <a:extLst>
                        <a:ext uri="{28A0092B-C50C-407E-A947-70E740481C1C}">
                          <a14:useLocalDpi xmlns:a14="http://schemas.microsoft.com/office/drawing/2010/main" val="0"/>
                        </a:ext>
                      </a:extLst>
                    </a:blip>
                    <a:stretch>
                      <a:fillRect/>
                    </a:stretch>
                  </pic:blipFill>
                  <pic:spPr>
                    <a:xfrm>
                      <a:off x="0" y="0"/>
                      <a:ext cx="5943600" cy="4410710"/>
                    </a:xfrm>
                    <a:prstGeom prst="rect">
                      <a:avLst/>
                    </a:prstGeom>
                  </pic:spPr>
                </pic:pic>
              </a:graphicData>
            </a:graphic>
          </wp:inline>
        </w:drawing>
      </w:r>
    </w:p>
    <w:p w14:paraId="46F894F4" w14:textId="2A9F34A6" w:rsidR="00F5721C" w:rsidRDefault="00F5721C" w:rsidP="00F5721C">
      <w:pPr>
        <w:pStyle w:val="Caption"/>
      </w:pPr>
      <w:r>
        <w:t xml:space="preserve">Figure </w:t>
      </w:r>
      <w:fldSimple w:instr=" SEQ Figure \* ARABIC ">
        <w:r w:rsidR="002855B2">
          <w:rPr>
            <w:noProof/>
          </w:rPr>
          <w:t>3</w:t>
        </w:r>
      </w:fldSimple>
      <w:r>
        <w:t>: Provider Utilities login dialog</w:t>
      </w:r>
    </w:p>
    <w:p w14:paraId="749AD7D7" w14:textId="77777777" w:rsidR="00DB59BC" w:rsidRDefault="00DB59BC" w:rsidP="00E235C4">
      <w:pPr>
        <w:pStyle w:val="BodyText"/>
      </w:pPr>
    </w:p>
    <w:p w14:paraId="1452C95B" w14:textId="6F89C992" w:rsidR="00DC36C3" w:rsidRDefault="00DC36C3" w:rsidP="00DC36C3">
      <w:pPr>
        <w:pStyle w:val="NoteHeading"/>
        <w:tabs>
          <w:tab w:val="left" w:pos="990"/>
        </w:tabs>
        <w:ind w:left="990" w:hanging="630"/>
      </w:pPr>
      <w:r w:rsidRPr="007E110C">
        <w:rPr>
          <w:b/>
        </w:rPr>
        <w:t>Note:</w:t>
      </w:r>
      <w:r>
        <w:tab/>
      </w:r>
      <w:r w:rsidR="00C874AB">
        <w:t xml:space="preserve">The users will use the two-factor authentication (2FA), using their Personal Identification Verification (PIV) card and their Personal Identification Number (PIN) when it is ready. Until it is ready, users will use the same </w:t>
      </w:r>
      <w:r w:rsidR="007E110C">
        <w:t xml:space="preserve">access and verify codes </w:t>
      </w:r>
      <w:r w:rsidR="00C874AB">
        <w:t xml:space="preserve">they use for CPRS or VistA </w:t>
      </w:r>
      <w:r w:rsidR="007E110C">
        <w:t>to</w:t>
      </w:r>
      <w:r w:rsidR="00C874AB">
        <w:t xml:space="preserve"> log in to Provider Utilities. </w:t>
      </w:r>
    </w:p>
    <w:p w14:paraId="09EDC9B5" w14:textId="77777777" w:rsidR="00DC36C3" w:rsidRDefault="00DC36C3" w:rsidP="00DC36C3"/>
    <w:p w14:paraId="4484D1B3" w14:textId="77777777" w:rsidR="007E110C" w:rsidRPr="00DC36C3" w:rsidRDefault="007E110C" w:rsidP="00DC36C3"/>
    <w:p w14:paraId="5BA0592C" w14:textId="77777777" w:rsidR="00080748" w:rsidRDefault="00080748" w:rsidP="00AA618B">
      <w:pPr>
        <w:pStyle w:val="Heading2"/>
      </w:pPr>
      <w:bookmarkStart w:id="38" w:name="_Toc506368271"/>
      <w:r>
        <w:t>Changing User ID and Password</w:t>
      </w:r>
      <w:bookmarkEnd w:id="38"/>
    </w:p>
    <w:p w14:paraId="5BA0592D" w14:textId="34C08058" w:rsidR="00080748" w:rsidRDefault="00F3197C" w:rsidP="00F3197C">
      <w:pPr>
        <w:pStyle w:val="BodyText"/>
      </w:pPr>
      <w:r>
        <w:t>Users will use the same credentials that they use to access VistA or CPRS. So, whenever those credentials need to be renewed, the same credentials will be used for Provider Utilities.</w:t>
      </w:r>
    </w:p>
    <w:p w14:paraId="5BA0592E" w14:textId="77777777" w:rsidR="00080748" w:rsidRDefault="00080748" w:rsidP="00AA618B">
      <w:pPr>
        <w:pStyle w:val="Heading2"/>
      </w:pPr>
      <w:bookmarkStart w:id="39" w:name="_Toc506368272"/>
      <w:r>
        <w:t>Exit System</w:t>
      </w:r>
      <w:bookmarkEnd w:id="39"/>
    </w:p>
    <w:p w14:paraId="5BA0592F" w14:textId="69C36267" w:rsidR="00950E47" w:rsidRDefault="00F3197C" w:rsidP="00F709F5">
      <w:pPr>
        <w:pStyle w:val="BodyText"/>
      </w:pPr>
      <w:r>
        <w:t>To exit the system, the user either selects the X in the uppe</w:t>
      </w:r>
      <w:r w:rsidR="00F709F5">
        <w:t>r right corner of the dialog or select File | Exit.</w:t>
      </w:r>
    </w:p>
    <w:p w14:paraId="5BA05930" w14:textId="77777777" w:rsidR="00080748" w:rsidRDefault="00080748" w:rsidP="00310941">
      <w:pPr>
        <w:pStyle w:val="Heading2"/>
        <w:ind w:left="1080" w:hanging="1080"/>
      </w:pPr>
      <w:bookmarkStart w:id="40" w:name="_Toc506368273"/>
      <w:r>
        <w:lastRenderedPageBreak/>
        <w:t>Caveats and Exceptions</w:t>
      </w:r>
      <w:bookmarkEnd w:id="40"/>
    </w:p>
    <w:p w14:paraId="1D0945BA" w14:textId="07C4C4DE" w:rsidR="00F709F5" w:rsidRPr="00F709F5" w:rsidRDefault="00F709F5" w:rsidP="00F709F5">
      <w:pPr>
        <w:pStyle w:val="BodyText"/>
      </w:pPr>
      <w:r>
        <w:t>N/A</w:t>
      </w:r>
    </w:p>
    <w:p w14:paraId="5BA05932" w14:textId="77777777" w:rsidR="00080748" w:rsidRDefault="00330411" w:rsidP="00B40906">
      <w:pPr>
        <w:pStyle w:val="Heading1"/>
      </w:pPr>
      <w:bookmarkStart w:id="41" w:name="_Toc506368274"/>
      <w:r w:rsidRPr="00017CEA">
        <w:t>Us</w:t>
      </w:r>
      <w:r>
        <w:t>ing</w:t>
      </w:r>
      <w:r w:rsidRPr="00017CEA">
        <w:t xml:space="preserve"> the </w:t>
      </w:r>
      <w:r>
        <w:t>Software</w:t>
      </w:r>
      <w:bookmarkEnd w:id="41"/>
    </w:p>
    <w:p w14:paraId="057CF3FD" w14:textId="77777777" w:rsidR="00CA4988" w:rsidRDefault="00CA4988" w:rsidP="00CA4988">
      <w:pPr>
        <w:pStyle w:val="Heading2"/>
      </w:pPr>
      <w:bookmarkStart w:id="42" w:name="_Toc501548736"/>
      <w:bookmarkStart w:id="43" w:name="_Toc506368275"/>
      <w:r>
        <w:t>Preparing for a Provider Role Change</w:t>
      </w:r>
      <w:bookmarkEnd w:id="42"/>
      <w:bookmarkEnd w:id="43"/>
    </w:p>
    <w:p w14:paraId="25A8D9BF" w14:textId="77777777" w:rsidR="00CA4988" w:rsidRDefault="00CA4988" w:rsidP="00CA4988">
      <w:r>
        <w:t xml:space="preserve">It’s important to properly research and prepare before attempting a provider role change. Remember that Provider Utilities, though it displays patient names, is actually reassigning </w:t>
      </w:r>
      <w:r>
        <w:rPr>
          <w:i/>
          <w:iCs/>
        </w:rPr>
        <w:t>orders</w:t>
      </w:r>
      <w:r>
        <w:t>, not patients. The program’s purpose is to make sure new notifications for recently issued orders go to a newly designated provider(s).</w:t>
      </w:r>
    </w:p>
    <w:p w14:paraId="59B64E00" w14:textId="77777777" w:rsidR="00CA4988" w:rsidRDefault="00CA4988" w:rsidP="00CA4988">
      <w:r>
        <w:t>To successfully implement a provider role change using Provider Utilities, you should answer these questions before attempting a transfer…</w:t>
      </w:r>
    </w:p>
    <w:p w14:paraId="41DB3921" w14:textId="77777777" w:rsidR="00CA4988" w:rsidRDefault="00CA4988" w:rsidP="00CA4988">
      <w:pPr>
        <w:numPr>
          <w:ilvl w:val="0"/>
          <w:numId w:val="42"/>
        </w:numPr>
        <w:spacing w:after="200" w:line="276" w:lineRule="auto"/>
        <w:contextualSpacing/>
      </w:pPr>
      <w:r>
        <w:rPr>
          <w:b/>
          <w:bCs/>
        </w:rPr>
        <w:t>Who is changing roles?</w:t>
      </w:r>
      <w:r>
        <w:t xml:space="preserve"> The management team identifies the provider changing roles.</w:t>
      </w:r>
    </w:p>
    <w:p w14:paraId="122B8CBE" w14:textId="77777777" w:rsidR="00CA4988" w:rsidRDefault="00CA4988" w:rsidP="00CA4988">
      <w:pPr>
        <w:numPr>
          <w:ilvl w:val="0"/>
          <w:numId w:val="42"/>
        </w:numPr>
        <w:spacing w:after="200" w:line="276" w:lineRule="auto"/>
        <w:contextualSpacing/>
      </w:pPr>
      <w:r>
        <w:rPr>
          <w:b/>
          <w:bCs/>
        </w:rPr>
        <w:t>What patients have qualifying orders?</w:t>
      </w:r>
      <w:r>
        <w:t xml:space="preserve"> The management team identifies patients who will be affected by the role change. Provider Utilities defines these patients as those who have qualifying orders issued by the provider changing roles during a specified time period.</w:t>
      </w:r>
    </w:p>
    <w:p w14:paraId="2BC32220" w14:textId="2C02DA60" w:rsidR="00CA4988" w:rsidRDefault="00CA4988" w:rsidP="00CA4988">
      <w:pPr>
        <w:numPr>
          <w:ilvl w:val="0"/>
          <w:numId w:val="42"/>
        </w:numPr>
        <w:spacing w:after="200" w:line="276" w:lineRule="auto"/>
        <w:contextualSpacing/>
      </w:pPr>
      <w:r>
        <w:rPr>
          <w:b/>
          <w:bCs/>
        </w:rPr>
        <w:t>Who will receive order notifications for these qualifying orders?</w:t>
      </w:r>
      <w:r>
        <w:t xml:space="preserve"> The management team identifies the new provider(s) who will now manage </w:t>
      </w:r>
      <w:r w:rsidR="00547953">
        <w:t>t</w:t>
      </w:r>
      <w:r>
        <w:t>he patients and orders formerly assigned to the departing provider.</w:t>
      </w:r>
    </w:p>
    <w:p w14:paraId="7800FBF0" w14:textId="77777777" w:rsidR="00CA4988" w:rsidRDefault="00CA4988" w:rsidP="00CA4988">
      <w:pPr>
        <w:numPr>
          <w:ilvl w:val="0"/>
          <w:numId w:val="42"/>
        </w:numPr>
        <w:spacing w:after="200" w:line="276" w:lineRule="auto"/>
        <w:contextualSpacing/>
      </w:pPr>
      <w:r>
        <w:rPr>
          <w:b/>
          <w:bCs/>
        </w:rPr>
        <w:t>How far back are we going?</w:t>
      </w:r>
      <w:r>
        <w:t xml:space="preserve"> The management team also determines a default time period covered by the transfer, such as “all orders from one year ago until today at midnight”.</w:t>
      </w:r>
    </w:p>
    <w:p w14:paraId="58CE2FFB" w14:textId="77777777" w:rsidR="00CA4988" w:rsidRDefault="00CA4988" w:rsidP="00CA4988">
      <w:pPr>
        <w:numPr>
          <w:ilvl w:val="0"/>
          <w:numId w:val="42"/>
        </w:numPr>
        <w:spacing w:after="200" w:line="276" w:lineRule="auto"/>
        <w:contextualSpacing/>
      </w:pPr>
      <w:r>
        <w:rPr>
          <w:b/>
          <w:bCs/>
        </w:rPr>
        <w:t>How will we allocate transfers between multiple new providers?</w:t>
      </w:r>
      <w:r>
        <w:t xml:space="preserve"> The management team specifies how patients/orders will be allocated between new providers. This could be simple, as in “evenly divide patients between these three new providers”. Or it could be complex, as in “find all the cardiac patients and assign them to provider X, and find all the orthopedic patients and assign them to provider Y”, and so on.</w:t>
      </w:r>
    </w:p>
    <w:p w14:paraId="79138B85" w14:textId="77777777" w:rsidR="00CA4988" w:rsidRDefault="00CA4988" w:rsidP="00CA4988">
      <w:pPr>
        <w:numPr>
          <w:ilvl w:val="0"/>
          <w:numId w:val="42"/>
        </w:numPr>
        <w:spacing w:after="200" w:line="276" w:lineRule="auto"/>
        <w:contextualSpacing/>
      </w:pPr>
      <w:r>
        <w:rPr>
          <w:b/>
          <w:bCs/>
        </w:rPr>
        <w:t>Are the designated new providers aware of this pending transfer?</w:t>
      </w:r>
      <w:r>
        <w:t xml:space="preserve"> It’s incumbent on the management team to get “buy-in” from the new providers that will suddenly be receiving order notifications for patients formerly managed by the previous provider.</w:t>
      </w:r>
    </w:p>
    <w:p w14:paraId="7DDC5743" w14:textId="77777777" w:rsidR="00CA4988" w:rsidRDefault="00CA4988" w:rsidP="00CA4988">
      <w:pPr>
        <w:numPr>
          <w:ilvl w:val="0"/>
          <w:numId w:val="42"/>
        </w:numPr>
        <w:spacing w:after="200" w:line="276" w:lineRule="auto"/>
        <w:contextualSpacing/>
      </w:pPr>
      <w:r>
        <w:rPr>
          <w:b/>
          <w:bCs/>
        </w:rPr>
        <w:t>Are the designated new providers able to receive the appropriate order notifications?</w:t>
      </w:r>
      <w:r>
        <w:t xml:space="preserve"> It doesn’t do much good to transfer orders to a new provider who can’t receive order notifications!</w:t>
      </w:r>
    </w:p>
    <w:p w14:paraId="090C9F67" w14:textId="77777777" w:rsidR="00CA4988" w:rsidRDefault="00CA4988" w:rsidP="00CA4988">
      <w:pPr>
        <w:numPr>
          <w:ilvl w:val="0"/>
          <w:numId w:val="42"/>
        </w:numPr>
        <w:spacing w:after="200" w:line="276" w:lineRule="auto"/>
        <w:contextualSpacing/>
      </w:pPr>
      <w:r>
        <w:rPr>
          <w:b/>
          <w:bCs/>
        </w:rPr>
        <w:t>Are you sure simple surrogacy is not sufficient?</w:t>
      </w:r>
      <w:r>
        <w:t xml:space="preserve"> Provider Utilities is designed to serve the business case where a provider is changing roles </w:t>
      </w:r>
      <w:r>
        <w:rPr>
          <w:i/>
          <w:iCs/>
        </w:rPr>
        <w:t>at the same site</w:t>
      </w:r>
      <w:r>
        <w:t xml:space="preserve">. If the provider is retiring or leaving the site, other business processes are probably more appropriate. </w:t>
      </w:r>
    </w:p>
    <w:p w14:paraId="444BE1D9" w14:textId="77777777" w:rsidR="00CA4988" w:rsidRDefault="00CA4988" w:rsidP="00CA4988">
      <w:r>
        <w:t>Provider Utilities can optionally assist in discovering patients and orders for a departing provider. For example, a user can enter a departing provider and a date range, and “assign” them to a new provider. In the review window, Provider Utilities will present a detailed listing of qualified orders and patients. This can then be used by the management team when designating which patients/orders go to each newly designated provider.</w:t>
      </w:r>
    </w:p>
    <w:p w14:paraId="2E241AD9" w14:textId="77777777" w:rsidR="00CA4988" w:rsidRDefault="00CA4988" w:rsidP="00CA4988">
      <w:pPr>
        <w:pStyle w:val="Heading2"/>
      </w:pPr>
      <w:bookmarkStart w:id="44" w:name="_Toc501548737"/>
      <w:bookmarkStart w:id="45" w:name="_Toc506368276"/>
      <w:r>
        <w:lastRenderedPageBreak/>
        <w:t>Main Window</w:t>
      </w:r>
      <w:bookmarkEnd w:id="44"/>
      <w:bookmarkEnd w:id="45"/>
    </w:p>
    <w:p w14:paraId="3A26C894" w14:textId="77777777" w:rsidR="00CA4988" w:rsidRDefault="00CA4988" w:rsidP="00CA4988">
      <w:pPr>
        <w:pStyle w:val="Heading3"/>
      </w:pPr>
      <w:bookmarkStart w:id="46" w:name="_Toc501548738"/>
      <w:bookmarkStart w:id="47" w:name="_Toc506368277"/>
      <w:r>
        <w:t>Window Layout</w:t>
      </w:r>
      <w:bookmarkEnd w:id="46"/>
      <w:bookmarkEnd w:id="47"/>
    </w:p>
    <w:p w14:paraId="3D8FA971" w14:textId="77777777" w:rsidR="0006686A" w:rsidRDefault="0006686A" w:rsidP="00CA4988">
      <w:r>
        <w:t xml:space="preserve">After logging in, the user will be presented with the main Provider Utilities: Reassign Patient Orders dialog. </w:t>
      </w:r>
    </w:p>
    <w:p w14:paraId="2A4EC971" w14:textId="7FEF279E" w:rsidR="0006686A" w:rsidRDefault="005918CF" w:rsidP="00CA4988">
      <w:r>
        <w:rPr>
          <w:noProof/>
        </w:rPr>
        <w:drawing>
          <wp:inline distT="0" distB="0" distL="0" distR="0" wp14:anchorId="14CFD59B" wp14:editId="588E98E3">
            <wp:extent cx="5943600" cy="3512185"/>
            <wp:effectExtent l="0" t="0" r="0" b="0"/>
            <wp:docPr id="2" name="Picture 2" descr="This screen capture shows the main Provider Utiities: Reassign Patient Orders dialog before the user selects a provider and date ran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_Util_main_select_doc_and_Patient_2018-02-06.gif"/>
                    <pic:cNvPicPr/>
                  </pic:nvPicPr>
                  <pic:blipFill>
                    <a:blip r:embed="rId18">
                      <a:extLst>
                        <a:ext uri="{28A0092B-C50C-407E-A947-70E740481C1C}">
                          <a14:useLocalDpi xmlns:a14="http://schemas.microsoft.com/office/drawing/2010/main" val="0"/>
                        </a:ext>
                      </a:extLst>
                    </a:blip>
                    <a:stretch>
                      <a:fillRect/>
                    </a:stretch>
                  </pic:blipFill>
                  <pic:spPr>
                    <a:xfrm>
                      <a:off x="0" y="0"/>
                      <a:ext cx="5943600" cy="3512185"/>
                    </a:xfrm>
                    <a:prstGeom prst="rect">
                      <a:avLst/>
                    </a:prstGeom>
                  </pic:spPr>
                </pic:pic>
              </a:graphicData>
            </a:graphic>
          </wp:inline>
        </w:drawing>
      </w:r>
    </w:p>
    <w:p w14:paraId="374DC927" w14:textId="77777777" w:rsidR="005918CF" w:rsidRPr="008755FF" w:rsidRDefault="005918CF" w:rsidP="005918CF">
      <w:pPr>
        <w:pStyle w:val="Caption"/>
      </w:pPr>
      <w:r>
        <w:t xml:space="preserve">Figure </w:t>
      </w:r>
      <w:fldSimple w:instr=" SEQ Figure \* ARABIC ">
        <w:r w:rsidR="002855B2">
          <w:rPr>
            <w:noProof/>
          </w:rPr>
          <w:t>4</w:t>
        </w:r>
      </w:fldSimple>
      <w:r>
        <w:t>: Provider Utilities Main Screen</w:t>
      </w:r>
    </w:p>
    <w:p w14:paraId="48BCA863" w14:textId="77777777" w:rsidR="005918CF" w:rsidRDefault="005918CF" w:rsidP="00CA4988"/>
    <w:p w14:paraId="5EA2E597" w14:textId="77777777" w:rsidR="0006686A" w:rsidRDefault="0006686A" w:rsidP="00CA4988"/>
    <w:p w14:paraId="6996511B" w14:textId="77777777" w:rsidR="000F7BCA" w:rsidRDefault="000F7BCA">
      <w:r>
        <w:br w:type="page"/>
      </w:r>
    </w:p>
    <w:p w14:paraId="77A1E323" w14:textId="31356CA9" w:rsidR="00CA4988" w:rsidRDefault="00CA4988" w:rsidP="00CA4988">
      <w:r>
        <w:lastRenderedPageBreak/>
        <w:t>The main Provider Utilities window has three parts…</w:t>
      </w:r>
    </w:p>
    <w:p w14:paraId="1893A43D" w14:textId="77777777" w:rsidR="00CA4988" w:rsidRDefault="00CA4988" w:rsidP="00CA4988">
      <w:pPr>
        <w:pStyle w:val="ListParagraph"/>
        <w:numPr>
          <w:ilvl w:val="0"/>
          <w:numId w:val="36"/>
        </w:numPr>
        <w:spacing w:after="200" w:line="276" w:lineRule="auto"/>
      </w:pPr>
      <w:r w:rsidRPr="002F7EC9">
        <w:rPr>
          <w:b/>
        </w:rPr>
        <w:t>Left side</w:t>
      </w:r>
      <w:r>
        <w:t>: Select and display a current provider and associated patients/orders associated with that provider and the chosen date range.</w:t>
      </w:r>
    </w:p>
    <w:p w14:paraId="731068A3" w14:textId="77777777" w:rsidR="00CA4988" w:rsidRDefault="00CA4988" w:rsidP="00CA4988">
      <w:pPr>
        <w:pStyle w:val="ListParagraph"/>
      </w:pPr>
      <w:r>
        <w:rPr>
          <w:noProof/>
        </w:rPr>
        <w:drawing>
          <wp:inline distT="0" distB="0" distL="0" distR="0" wp14:anchorId="795E6E91" wp14:editId="50CCB6D3">
            <wp:extent cx="5943600" cy="3514725"/>
            <wp:effectExtent l="0" t="0" r="0" b="9525"/>
            <wp:docPr id="5" name="Picture 5" descr="This screen capture shows the main Provider Utiities: Reassign Patient Orders dialog with the left side of the window showing the patien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_Util_main_right_2018-01-19.gif"/>
                    <pic:cNvPicPr/>
                  </pic:nvPicPr>
                  <pic:blipFill>
                    <a:blip r:embed="rId19">
                      <a:extLst>
                        <a:ext uri="{28A0092B-C50C-407E-A947-70E740481C1C}">
                          <a14:useLocalDpi xmlns:a14="http://schemas.microsoft.com/office/drawing/2010/main" val="0"/>
                        </a:ext>
                      </a:extLst>
                    </a:blip>
                    <a:stretch>
                      <a:fillRect/>
                    </a:stretch>
                  </pic:blipFill>
                  <pic:spPr>
                    <a:xfrm>
                      <a:off x="0" y="0"/>
                      <a:ext cx="5943600" cy="3514725"/>
                    </a:xfrm>
                    <a:prstGeom prst="rect">
                      <a:avLst/>
                    </a:prstGeom>
                  </pic:spPr>
                </pic:pic>
              </a:graphicData>
            </a:graphic>
          </wp:inline>
        </w:drawing>
      </w:r>
    </w:p>
    <w:p w14:paraId="578B230F" w14:textId="77777777" w:rsidR="00CA4988" w:rsidRDefault="00CA4988" w:rsidP="00CA4988">
      <w:pPr>
        <w:pStyle w:val="Caption"/>
        <w:ind w:left="720"/>
      </w:pPr>
      <w:r>
        <w:t xml:space="preserve">Figure </w:t>
      </w:r>
      <w:fldSimple w:instr=" SEQ Figure \* ARABIC ">
        <w:r w:rsidR="002855B2">
          <w:rPr>
            <w:noProof/>
          </w:rPr>
          <w:t>5</w:t>
        </w:r>
      </w:fldSimple>
      <w:r>
        <w:t>: This shows the right side of the Provider Utilities Window</w:t>
      </w:r>
    </w:p>
    <w:p w14:paraId="0FCCDB3B" w14:textId="77777777" w:rsidR="00CA4988" w:rsidRDefault="00CA4988" w:rsidP="00CA4988">
      <w:pPr>
        <w:rPr>
          <w:b/>
        </w:rPr>
      </w:pPr>
      <w:r>
        <w:rPr>
          <w:b/>
        </w:rPr>
        <w:br w:type="page"/>
      </w:r>
    </w:p>
    <w:p w14:paraId="410325AC" w14:textId="77777777" w:rsidR="00CA4988" w:rsidRDefault="00CA4988" w:rsidP="00CA4988">
      <w:pPr>
        <w:pStyle w:val="ListParagraph"/>
        <w:numPr>
          <w:ilvl w:val="0"/>
          <w:numId w:val="36"/>
        </w:numPr>
        <w:spacing w:after="200" w:line="276" w:lineRule="auto"/>
      </w:pPr>
      <w:r w:rsidRPr="002F7EC9">
        <w:rPr>
          <w:b/>
        </w:rPr>
        <w:lastRenderedPageBreak/>
        <w:t>Right side</w:t>
      </w:r>
      <w:r>
        <w:t>: Select and display new providers and the patients/orders assigned to each.</w:t>
      </w:r>
    </w:p>
    <w:p w14:paraId="30C91D03" w14:textId="77777777" w:rsidR="00CA4988" w:rsidRDefault="00CA4988" w:rsidP="00CA4988">
      <w:pPr>
        <w:pStyle w:val="ListParagraph"/>
      </w:pPr>
      <w:r>
        <w:rPr>
          <w:noProof/>
        </w:rPr>
        <w:drawing>
          <wp:inline distT="0" distB="0" distL="0" distR="0" wp14:anchorId="2F97DDF5" wp14:editId="5DF9BCCC">
            <wp:extent cx="5943600" cy="3514725"/>
            <wp:effectExtent l="0" t="0" r="0" b="9525"/>
            <wp:docPr id="7" name="Picture 7" descr="This screen capture shows the main Provider Utiities: Reassign Patient Orders dialog with the right side emphasized with the rest of the windows blurred and a red sqaure around the right side where the providers and orders are sho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_Util_main_rightt_2018-01-19.gif"/>
                    <pic:cNvPicPr/>
                  </pic:nvPicPr>
                  <pic:blipFill>
                    <a:blip r:embed="rId20">
                      <a:extLst>
                        <a:ext uri="{28A0092B-C50C-407E-A947-70E740481C1C}">
                          <a14:useLocalDpi xmlns:a14="http://schemas.microsoft.com/office/drawing/2010/main" val="0"/>
                        </a:ext>
                      </a:extLst>
                    </a:blip>
                    <a:stretch>
                      <a:fillRect/>
                    </a:stretch>
                  </pic:blipFill>
                  <pic:spPr>
                    <a:xfrm>
                      <a:off x="0" y="0"/>
                      <a:ext cx="5943600" cy="3514725"/>
                    </a:xfrm>
                    <a:prstGeom prst="rect">
                      <a:avLst/>
                    </a:prstGeom>
                  </pic:spPr>
                </pic:pic>
              </a:graphicData>
            </a:graphic>
          </wp:inline>
        </w:drawing>
      </w:r>
    </w:p>
    <w:p w14:paraId="2E6ADAA7" w14:textId="77777777" w:rsidR="00CA4988" w:rsidRDefault="00CA4988" w:rsidP="00CA4988">
      <w:pPr>
        <w:pStyle w:val="Caption"/>
        <w:ind w:left="720"/>
      </w:pPr>
      <w:r>
        <w:t xml:space="preserve">Figure </w:t>
      </w:r>
      <w:fldSimple w:instr=" SEQ Figure \* ARABIC ">
        <w:r w:rsidR="002855B2">
          <w:rPr>
            <w:noProof/>
          </w:rPr>
          <w:t>6</w:t>
        </w:r>
      </w:fldSimple>
      <w:r>
        <w:t>: The right part of the Provider Utilities main window</w:t>
      </w:r>
    </w:p>
    <w:p w14:paraId="43D14831" w14:textId="77777777" w:rsidR="000F7BCA" w:rsidRDefault="000F7BCA">
      <w:pPr>
        <w:rPr>
          <w:b/>
        </w:rPr>
      </w:pPr>
      <w:r>
        <w:rPr>
          <w:b/>
        </w:rPr>
        <w:br w:type="page"/>
      </w:r>
    </w:p>
    <w:p w14:paraId="5452F4FC" w14:textId="46B25E1D" w:rsidR="00CA4988" w:rsidRDefault="00CA4988" w:rsidP="00CA4988">
      <w:pPr>
        <w:pStyle w:val="ListParagraph"/>
        <w:numPr>
          <w:ilvl w:val="0"/>
          <w:numId w:val="36"/>
        </w:numPr>
        <w:spacing w:after="200" w:line="276" w:lineRule="auto"/>
      </w:pPr>
      <w:r w:rsidRPr="002F7EC9">
        <w:rPr>
          <w:b/>
        </w:rPr>
        <w:lastRenderedPageBreak/>
        <w:t>Center</w:t>
      </w:r>
      <w:r>
        <w:t>: Buttons to move patients between old and new providers.</w:t>
      </w:r>
    </w:p>
    <w:p w14:paraId="0D8D49DB" w14:textId="77777777" w:rsidR="00CA4988" w:rsidRDefault="00CA4988" w:rsidP="00CA4988">
      <w:pPr>
        <w:pStyle w:val="ListParagraph"/>
      </w:pPr>
      <w:r>
        <w:rPr>
          <w:noProof/>
        </w:rPr>
        <w:drawing>
          <wp:inline distT="0" distB="0" distL="0" distR="0" wp14:anchorId="33DD88B5" wp14:editId="5E5E2D39">
            <wp:extent cx="5943600" cy="3514725"/>
            <wp:effectExtent l="0" t="0" r="0" b="9525"/>
            <wp:docPr id="8" name="Picture 8" descr="This screen capture shows the mainProvider Utiities: Reassign Patient Orders dialog with the center section containing the command buttons emphasiz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_Util_main_center_2018-01-19.gif"/>
                    <pic:cNvPicPr/>
                  </pic:nvPicPr>
                  <pic:blipFill>
                    <a:blip r:embed="rId21">
                      <a:extLst>
                        <a:ext uri="{28A0092B-C50C-407E-A947-70E740481C1C}">
                          <a14:useLocalDpi xmlns:a14="http://schemas.microsoft.com/office/drawing/2010/main" val="0"/>
                        </a:ext>
                      </a:extLst>
                    </a:blip>
                    <a:stretch>
                      <a:fillRect/>
                    </a:stretch>
                  </pic:blipFill>
                  <pic:spPr>
                    <a:xfrm>
                      <a:off x="0" y="0"/>
                      <a:ext cx="5943600" cy="3514725"/>
                    </a:xfrm>
                    <a:prstGeom prst="rect">
                      <a:avLst/>
                    </a:prstGeom>
                  </pic:spPr>
                </pic:pic>
              </a:graphicData>
            </a:graphic>
          </wp:inline>
        </w:drawing>
      </w:r>
    </w:p>
    <w:p w14:paraId="00571607" w14:textId="77777777" w:rsidR="00CA4988" w:rsidRDefault="00CA4988" w:rsidP="00CA4988">
      <w:pPr>
        <w:pStyle w:val="Caption"/>
        <w:ind w:left="720"/>
      </w:pPr>
      <w:r>
        <w:t xml:space="preserve">Figure </w:t>
      </w:r>
      <w:fldSimple w:instr=" SEQ Figure \* ARABIC ">
        <w:r w:rsidR="002855B2">
          <w:rPr>
            <w:noProof/>
          </w:rPr>
          <w:t>7</w:t>
        </w:r>
      </w:fldSimple>
      <w:r>
        <w:t>: The center portion of the main Provider Utilities window has the command buttons.</w:t>
      </w:r>
    </w:p>
    <w:p w14:paraId="51BCEEAB" w14:textId="77777777" w:rsidR="00151B46" w:rsidRDefault="00151B46" w:rsidP="00151B46"/>
    <w:p w14:paraId="67A877DD" w14:textId="77777777" w:rsidR="000F7BCA" w:rsidRDefault="000F7BCA">
      <w:r>
        <w:br w:type="page"/>
      </w:r>
    </w:p>
    <w:p w14:paraId="6AD7EEE6" w14:textId="4ECB487B" w:rsidR="00151B46" w:rsidRDefault="00151B46" w:rsidP="00151B46">
      <w:r>
        <w:lastRenderedPageBreak/>
        <w:t>The screen capture below shows a typical Provider Utilities session in mid-progress. The user has already selected a current provider, two new providers, and has assigned each new provider two patients. There are still several current patients at left awaiting reassignments.</w:t>
      </w:r>
    </w:p>
    <w:p w14:paraId="78F4CAD6" w14:textId="77777777" w:rsidR="00151B46" w:rsidRDefault="00151B46" w:rsidP="00151B46"/>
    <w:p w14:paraId="6216797D" w14:textId="77777777" w:rsidR="00151B46" w:rsidRDefault="00151B46" w:rsidP="00151B46">
      <w:pPr>
        <w:keepNext/>
      </w:pPr>
      <w:r>
        <w:rPr>
          <w:noProof/>
        </w:rPr>
        <w:drawing>
          <wp:inline distT="0" distB="0" distL="0" distR="0" wp14:anchorId="08FABBAA" wp14:editId="03078FB2">
            <wp:extent cx="5943600" cy="3512185"/>
            <wp:effectExtent l="0" t="0" r="0" b="0"/>
            <wp:docPr id="1" name="Picture 1" descr="This screen caprture shows the Provider Utiities: Reassign Patient Orders dialog with the current provider, order dates, patients to reassign, and the new provider. It shows one of the patients having been moved under the new provi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512185"/>
                    </a:xfrm>
                    <a:prstGeom prst="rect">
                      <a:avLst/>
                    </a:prstGeom>
                  </pic:spPr>
                </pic:pic>
              </a:graphicData>
            </a:graphic>
          </wp:inline>
        </w:drawing>
      </w:r>
    </w:p>
    <w:p w14:paraId="133F9318" w14:textId="77777777" w:rsidR="00151B46" w:rsidRPr="008755FF" w:rsidRDefault="00151B46" w:rsidP="00151B46">
      <w:pPr>
        <w:pStyle w:val="Caption"/>
      </w:pPr>
      <w:r>
        <w:t xml:space="preserve">Figure </w:t>
      </w:r>
      <w:fldSimple w:instr=" SEQ Figure \* ARABIC ">
        <w:r w:rsidR="002855B2">
          <w:rPr>
            <w:noProof/>
          </w:rPr>
          <w:t>8</w:t>
        </w:r>
      </w:fldSimple>
      <w:r>
        <w:t>: Provider Utilities Main Screen</w:t>
      </w:r>
    </w:p>
    <w:p w14:paraId="581CFB0C" w14:textId="77777777" w:rsidR="00151B46" w:rsidRPr="00151B46" w:rsidRDefault="00151B46" w:rsidP="00151B46"/>
    <w:p w14:paraId="27F4B840" w14:textId="4720C18C" w:rsidR="00CA4988" w:rsidRDefault="000A5D15" w:rsidP="00CA4988">
      <w:r>
        <w:t>Additional features in the Provider Utilities GUI:</w:t>
      </w:r>
    </w:p>
    <w:p w14:paraId="724D4172" w14:textId="77777777" w:rsidR="00CA4988" w:rsidRDefault="00CA4988" w:rsidP="00CA4988">
      <w:pPr>
        <w:pStyle w:val="ListParagraph"/>
        <w:numPr>
          <w:ilvl w:val="0"/>
          <w:numId w:val="37"/>
        </w:numPr>
        <w:spacing w:after="200" w:line="276" w:lineRule="auto"/>
      </w:pPr>
      <w:r>
        <w:t>Most tables and lists have popup or context menus with additional actions. When in doubt, right click to see if a menu pops up.</w:t>
      </w:r>
    </w:p>
    <w:p w14:paraId="18D4A49C" w14:textId="77777777" w:rsidR="00CA4988" w:rsidRDefault="00CA4988" w:rsidP="00CA4988">
      <w:pPr>
        <w:pStyle w:val="ListParagraph"/>
        <w:numPr>
          <w:ilvl w:val="0"/>
          <w:numId w:val="37"/>
        </w:numPr>
        <w:spacing w:after="200" w:line="276" w:lineRule="auto"/>
      </w:pPr>
      <w:r>
        <w:t>The main screen supports drag and drop. You can drag patients from left to right, or between providers at right.</w:t>
      </w:r>
    </w:p>
    <w:p w14:paraId="30BBA141" w14:textId="77777777" w:rsidR="00CA4988" w:rsidRDefault="00CA4988" w:rsidP="00CA4988">
      <w:pPr>
        <w:pStyle w:val="ListParagraph"/>
        <w:numPr>
          <w:ilvl w:val="0"/>
          <w:numId w:val="37"/>
        </w:numPr>
        <w:spacing w:after="200" w:line="276" w:lineRule="auto"/>
      </w:pPr>
      <w:r>
        <w:t>Some tables support double click. You can double click a patient to see associated orders.</w:t>
      </w:r>
    </w:p>
    <w:p w14:paraId="29261760" w14:textId="77777777" w:rsidR="00CA4988" w:rsidRDefault="00CA4988" w:rsidP="00CA4988">
      <w:pPr>
        <w:pStyle w:val="ListParagraph"/>
        <w:numPr>
          <w:ilvl w:val="0"/>
          <w:numId w:val="37"/>
        </w:numPr>
        <w:spacing w:after="200" w:line="276" w:lineRule="auto"/>
      </w:pPr>
      <w:r>
        <w:t>Most tables and lists support multiple selections using standard Windows techniques.</w:t>
      </w:r>
    </w:p>
    <w:p w14:paraId="355B92C5" w14:textId="77777777" w:rsidR="00CA4988" w:rsidRDefault="00CA4988" w:rsidP="00CA4988">
      <w:pPr>
        <w:pStyle w:val="Heading2"/>
      </w:pPr>
      <w:bookmarkStart w:id="48" w:name="_Toc501548739"/>
      <w:bookmarkStart w:id="49" w:name="_Toc506368278"/>
      <w:r>
        <w:t>Viewing Patient Orders</w:t>
      </w:r>
      <w:bookmarkEnd w:id="48"/>
      <w:bookmarkEnd w:id="49"/>
    </w:p>
    <w:p w14:paraId="151A61B1" w14:textId="77777777" w:rsidR="00CA4988" w:rsidRDefault="00CA4988" w:rsidP="00CA4988">
      <w:r>
        <w:t>Double click or use the popup context menu item to view all qualifying orders for the selected current provider patient (at screen left). Orders will be displayed in a popup dialog. See the separate help topic for the order details dialog.</w:t>
      </w:r>
    </w:p>
    <w:p w14:paraId="302279C6" w14:textId="77777777" w:rsidR="00CA4988" w:rsidRDefault="00CA4988" w:rsidP="00CA4988">
      <w:r>
        <w:t>What is a qualifying order?</w:t>
      </w:r>
    </w:p>
    <w:p w14:paraId="35A67CCB" w14:textId="77777777" w:rsidR="00CA4988" w:rsidRDefault="00CA4988" w:rsidP="00CA4988">
      <w:pPr>
        <w:pStyle w:val="ListParagraph"/>
        <w:numPr>
          <w:ilvl w:val="0"/>
          <w:numId w:val="41"/>
        </w:numPr>
        <w:spacing w:after="200" w:line="276" w:lineRule="auto"/>
      </w:pPr>
      <w:r>
        <w:t>It was issued by the selected provider</w:t>
      </w:r>
    </w:p>
    <w:p w14:paraId="4F0E45BF" w14:textId="77777777" w:rsidR="00CA4988" w:rsidRDefault="00CA4988" w:rsidP="00CA4988">
      <w:pPr>
        <w:pStyle w:val="ListParagraph"/>
        <w:numPr>
          <w:ilvl w:val="0"/>
          <w:numId w:val="41"/>
        </w:numPr>
        <w:spacing w:after="200" w:line="276" w:lineRule="auto"/>
      </w:pPr>
      <w:r>
        <w:t>It was issued during the selected date range</w:t>
      </w:r>
    </w:p>
    <w:p w14:paraId="71968D98" w14:textId="77777777" w:rsidR="00CA4988" w:rsidRDefault="00CA4988" w:rsidP="00CA4988">
      <w:pPr>
        <w:pStyle w:val="ListParagraph"/>
        <w:numPr>
          <w:ilvl w:val="0"/>
          <w:numId w:val="41"/>
        </w:numPr>
        <w:spacing w:after="200" w:line="276" w:lineRule="auto"/>
      </w:pPr>
      <w:r>
        <w:t>It is in a state identified as potentially generating a future notification (states were selected by the stakeholders for NSR 20130504.</w:t>
      </w:r>
    </w:p>
    <w:p w14:paraId="37C2FEEC" w14:textId="77777777" w:rsidR="00CA4988" w:rsidRDefault="00CA4988" w:rsidP="00575879">
      <w:pPr>
        <w:pStyle w:val="Heading2"/>
      </w:pPr>
      <w:bookmarkStart w:id="50" w:name="_Toc501548740"/>
      <w:bookmarkStart w:id="51" w:name="_Toc506368279"/>
      <w:r>
        <w:lastRenderedPageBreak/>
        <w:t>Buttons &amp; Menu Items</w:t>
      </w:r>
      <w:bookmarkEnd w:id="50"/>
      <w:bookmarkEnd w:id="51"/>
    </w:p>
    <w:p w14:paraId="4EBA8391" w14:textId="77777777" w:rsidR="00CA4988" w:rsidRPr="003C3752" w:rsidRDefault="00CA4988" w:rsidP="00CA4988">
      <w:r>
        <w:t>All buttons on the main screen have corresponding menu commands in the “Edit” main menu. All buttons and menu items have shortcuts (command keys) that are displayed when the “ALT” key is pressed.</w:t>
      </w:r>
    </w:p>
    <w:p w14:paraId="645637BA" w14:textId="77777777" w:rsidR="00CA4988" w:rsidRDefault="00CA4988" w:rsidP="00CA4988">
      <w:pPr>
        <w:pStyle w:val="ListParagraph"/>
        <w:numPr>
          <w:ilvl w:val="0"/>
          <w:numId w:val="40"/>
        </w:numPr>
        <w:spacing w:after="200" w:line="276" w:lineRule="auto"/>
      </w:pPr>
      <w:r w:rsidRPr="005B499A">
        <w:rPr>
          <w:b/>
        </w:rPr>
        <w:t>Choose Current Provider and Order Dates</w:t>
      </w:r>
      <w:r>
        <w:t xml:space="preserve">: Displays a popup dialog (see additional help) in which the user can select the current provider from a list. The user can also modify the default selection period, which defaults to the past calendar year. Upon selection, the patients list at screen left will be populated with patients. The order count for each will be displayed to the right of the patient’s name. </w:t>
      </w:r>
    </w:p>
    <w:p w14:paraId="5AA4C38B" w14:textId="77777777" w:rsidR="00CA4988" w:rsidRDefault="00CA4988" w:rsidP="00CA4988">
      <w:pPr>
        <w:pStyle w:val="ListParagraph"/>
        <w:numPr>
          <w:ilvl w:val="0"/>
          <w:numId w:val="40"/>
        </w:numPr>
        <w:spacing w:after="200" w:line="276" w:lineRule="auto"/>
      </w:pPr>
      <w:r w:rsidRPr="005B499A">
        <w:rPr>
          <w:b/>
        </w:rPr>
        <w:t>Add Selected</w:t>
      </w:r>
      <w:r>
        <w:t xml:space="preserve">: Move the </w:t>
      </w:r>
      <w:r w:rsidRPr="001E156C">
        <w:rPr>
          <w:i/>
        </w:rPr>
        <w:t>selected</w:t>
      </w:r>
      <w:r>
        <w:t xml:space="preserve"> current provider patients (at screen left) to the selected new provider (at screen right). </w:t>
      </w:r>
    </w:p>
    <w:p w14:paraId="7DEE97B0" w14:textId="77777777" w:rsidR="00CA4988" w:rsidRDefault="00CA4988" w:rsidP="00CA4988">
      <w:pPr>
        <w:pStyle w:val="ListParagraph"/>
        <w:numPr>
          <w:ilvl w:val="0"/>
          <w:numId w:val="40"/>
        </w:numPr>
        <w:spacing w:after="200" w:line="276" w:lineRule="auto"/>
      </w:pPr>
      <w:r w:rsidRPr="005B499A">
        <w:rPr>
          <w:b/>
        </w:rPr>
        <w:t>Add All</w:t>
      </w:r>
      <w:r>
        <w:t>: Moves all current provider patients (at screen left) to the selected new provider (at screen right).</w:t>
      </w:r>
    </w:p>
    <w:p w14:paraId="453E463B" w14:textId="77777777" w:rsidR="00CA4988" w:rsidRDefault="00CA4988" w:rsidP="00CA4988">
      <w:pPr>
        <w:pStyle w:val="ListParagraph"/>
        <w:numPr>
          <w:ilvl w:val="0"/>
          <w:numId w:val="40"/>
        </w:numPr>
        <w:spacing w:after="200" w:line="276" w:lineRule="auto"/>
      </w:pPr>
      <w:r w:rsidRPr="005B499A">
        <w:rPr>
          <w:b/>
        </w:rPr>
        <w:t>Auto Allocate All</w:t>
      </w:r>
      <w:r>
        <w:t>: Evenly distributes all current provider patients (at screen left) between all new providers (at screen right).</w:t>
      </w:r>
    </w:p>
    <w:p w14:paraId="011912B0" w14:textId="77777777" w:rsidR="00CA4988" w:rsidRDefault="00CA4988" w:rsidP="00CA4988">
      <w:pPr>
        <w:pStyle w:val="ListParagraph"/>
        <w:numPr>
          <w:ilvl w:val="0"/>
          <w:numId w:val="40"/>
        </w:numPr>
        <w:spacing w:after="200" w:line="276" w:lineRule="auto"/>
      </w:pPr>
      <w:r w:rsidRPr="000223F2">
        <w:rPr>
          <w:b/>
        </w:rPr>
        <w:t>Undo Selected</w:t>
      </w:r>
      <w:r>
        <w:t xml:space="preserve">: Removes all </w:t>
      </w:r>
      <w:r w:rsidRPr="001E156C">
        <w:rPr>
          <w:i/>
        </w:rPr>
        <w:t>selected</w:t>
      </w:r>
      <w:r>
        <w:t xml:space="preserve"> patients at screen right (new provider) and restores them at screen left (current provider).</w:t>
      </w:r>
    </w:p>
    <w:p w14:paraId="39EEA7D4" w14:textId="77777777" w:rsidR="00CA4988" w:rsidRDefault="00CA4988" w:rsidP="00CA4988">
      <w:pPr>
        <w:pStyle w:val="ListParagraph"/>
        <w:numPr>
          <w:ilvl w:val="0"/>
          <w:numId w:val="40"/>
        </w:numPr>
        <w:spacing w:after="200" w:line="276" w:lineRule="auto"/>
      </w:pPr>
      <w:r w:rsidRPr="000223F2">
        <w:rPr>
          <w:b/>
        </w:rPr>
        <w:t>Undo All</w:t>
      </w:r>
      <w:r>
        <w:t>: Removes all patients at screen right (new provider) and restores them at screen left (current provider).</w:t>
      </w:r>
    </w:p>
    <w:p w14:paraId="13A94B35" w14:textId="77777777" w:rsidR="00CA4988" w:rsidRPr="003C3752" w:rsidRDefault="00CA4988" w:rsidP="00CA4988">
      <w:pPr>
        <w:ind w:left="360"/>
      </w:pPr>
      <w:r>
        <w:t xml:space="preserve"> </w:t>
      </w:r>
    </w:p>
    <w:p w14:paraId="60B6F15D" w14:textId="23807E30" w:rsidR="00CA4988" w:rsidRDefault="00450BD2" w:rsidP="00575879">
      <w:pPr>
        <w:pStyle w:val="Heading2"/>
      </w:pPr>
      <w:bookmarkStart w:id="52" w:name="_Toc501548741"/>
      <w:bookmarkStart w:id="53" w:name="_Toc506368280"/>
      <w:r>
        <w:t>How to Reassign Patient O</w:t>
      </w:r>
      <w:r w:rsidR="00CA4988">
        <w:t>rders</w:t>
      </w:r>
      <w:bookmarkEnd w:id="52"/>
      <w:bookmarkEnd w:id="53"/>
    </w:p>
    <w:p w14:paraId="65567711" w14:textId="3AD1DB74" w:rsidR="00CA4988" w:rsidRPr="00A93312" w:rsidRDefault="00CA4988" w:rsidP="00CA4988">
      <w:r w:rsidRPr="00A93312">
        <w:rPr>
          <w:i/>
        </w:rPr>
        <w:t xml:space="preserve">There are four </w:t>
      </w:r>
      <w:r w:rsidR="00814B8F">
        <w:rPr>
          <w:i/>
        </w:rPr>
        <w:t xml:space="preserve">overall </w:t>
      </w:r>
      <w:r w:rsidRPr="00A93312">
        <w:rPr>
          <w:i/>
        </w:rPr>
        <w:t>steps in moving patient orders from an old provider to one or more new providers</w:t>
      </w:r>
      <w:r>
        <w:t xml:space="preserve">. </w:t>
      </w:r>
      <w:r w:rsidR="00814B8F">
        <w:t xml:space="preserve">More specific steps are described below. </w:t>
      </w:r>
      <w:r>
        <w:t>Popup dialogs are described in greater detail in focused help topics.</w:t>
      </w:r>
    </w:p>
    <w:p w14:paraId="4122B1CD" w14:textId="4F442797" w:rsidR="00CA4988" w:rsidRDefault="00144B97" w:rsidP="00144B97">
      <w:pPr>
        <w:pStyle w:val="BodyTextNumbered1"/>
      </w:pPr>
      <w:r w:rsidRPr="00144B97">
        <w:rPr>
          <w:b/>
        </w:rPr>
        <w:t>Choose a Provider and a Date Range</w:t>
      </w:r>
      <w:r>
        <w:t xml:space="preserve">: The first step is to specify which provider needs to have orders reassigned and then pick the date range. The default date range is from today back one year, but the user can change the range. Select </w:t>
      </w:r>
      <w:r w:rsidR="00CA4988">
        <w:t xml:space="preserve">Choose Current Provider </w:t>
      </w:r>
      <w:r>
        <w:t xml:space="preserve">and Order Dates…. </w:t>
      </w:r>
      <w:r w:rsidR="00CA4988">
        <w:t>Then select a provider and a date range from the popup dialog.</w:t>
      </w:r>
    </w:p>
    <w:p w14:paraId="6B0BCB27" w14:textId="75CE72E7" w:rsidR="00CA4988" w:rsidRDefault="00144B97" w:rsidP="00144B97">
      <w:pPr>
        <w:pStyle w:val="BodyTextNumbered1"/>
      </w:pPr>
      <w:r w:rsidRPr="00144B97">
        <w:rPr>
          <w:b/>
        </w:rPr>
        <w:t>Choose One or More Providers Who Will Be Responsible for the Orders:</w:t>
      </w:r>
      <w:r>
        <w:t xml:space="preserve"> Select Add New Provider…</w:t>
      </w:r>
      <w:r w:rsidR="00CA4988">
        <w:t>. Then select a new provider from the popup dialog. Repeat as needed to select more than one new provider (orders can be distributed among multiple new providers).</w:t>
      </w:r>
    </w:p>
    <w:p w14:paraId="3E7D9486" w14:textId="04A8D84A" w:rsidR="00CA4988" w:rsidRDefault="00144B97" w:rsidP="00144B97">
      <w:pPr>
        <w:pStyle w:val="BodyTextNumbered1"/>
      </w:pPr>
      <w:r w:rsidRPr="007D705F">
        <w:rPr>
          <w:b/>
        </w:rPr>
        <w:t>Move Orders to the New Providers:</w:t>
      </w:r>
      <w:r>
        <w:t xml:space="preserve"> </w:t>
      </w:r>
      <w:r w:rsidR="00CA4988">
        <w:t>Use drag &amp; drop, the center buttons, or the edit menu items to move patients from left to right until all are assigned new providers.</w:t>
      </w:r>
    </w:p>
    <w:p w14:paraId="72B7AE2C" w14:textId="776A8D76" w:rsidR="00CA4988" w:rsidRDefault="007D705F" w:rsidP="00144B97">
      <w:pPr>
        <w:pStyle w:val="BodyTextNumbered1"/>
      </w:pPr>
      <w:r w:rsidRPr="007D705F">
        <w:rPr>
          <w:b/>
        </w:rPr>
        <w:t>Review and Reassign Orders:</w:t>
      </w:r>
      <w:r>
        <w:t xml:space="preserve"> When all orders are correctly assigned to the appropriate new providers, select Apply Changes</w:t>
      </w:r>
      <w:r w:rsidR="00CA4988">
        <w:t xml:space="preserve"> to display the review window. In that window, review your changes and </w:t>
      </w:r>
      <w:r>
        <w:t>then when ready select Reassign Orders</w:t>
      </w:r>
      <w:r w:rsidR="00CA4988">
        <w:t xml:space="preserve"> to make your changes permanent.</w:t>
      </w:r>
    </w:p>
    <w:p w14:paraId="0BA1B17E" w14:textId="77777777" w:rsidR="00CA4988" w:rsidRDefault="00CA4988" w:rsidP="00CA4988"/>
    <w:p w14:paraId="5522EAA4" w14:textId="77777777" w:rsidR="00CA4988" w:rsidRDefault="00CA4988" w:rsidP="00CA4988"/>
    <w:p w14:paraId="37907470" w14:textId="77777777" w:rsidR="00CA4988" w:rsidRPr="00535C13" w:rsidRDefault="00CA4988" w:rsidP="00CA4988"/>
    <w:p w14:paraId="3BCFC4E1" w14:textId="77777777" w:rsidR="00CA4988" w:rsidRDefault="00CA4988" w:rsidP="00575879">
      <w:pPr>
        <w:pStyle w:val="Heading2"/>
      </w:pPr>
      <w:bookmarkStart w:id="54" w:name="_Toc501548742"/>
      <w:bookmarkStart w:id="55" w:name="_Toc506368281"/>
      <w:r>
        <w:lastRenderedPageBreak/>
        <w:t>Select Provider</w:t>
      </w:r>
      <w:bookmarkEnd w:id="54"/>
      <w:bookmarkEnd w:id="55"/>
    </w:p>
    <w:p w14:paraId="2CC0BD90" w14:textId="6853E2CF" w:rsidR="00CA4988" w:rsidRDefault="00CA4988" w:rsidP="00575879">
      <w:pPr>
        <w:pStyle w:val="Heading3"/>
      </w:pPr>
      <w:bookmarkStart w:id="56" w:name="_Toc501548743"/>
      <w:bookmarkStart w:id="57" w:name="_Toc506368282"/>
      <w:r>
        <w:t xml:space="preserve">Select a </w:t>
      </w:r>
      <w:r w:rsidR="005D3FE8">
        <w:rPr>
          <w:i/>
        </w:rPr>
        <w:t>C</w:t>
      </w:r>
      <w:r w:rsidRPr="00A04F5A">
        <w:rPr>
          <w:i/>
        </w:rPr>
        <w:t>urrent</w:t>
      </w:r>
      <w:r w:rsidR="005D3FE8">
        <w:t xml:space="preserve"> P</w:t>
      </w:r>
      <w:r>
        <w:t xml:space="preserve">rovider and </w:t>
      </w:r>
      <w:r w:rsidR="005D3FE8" w:rsidRPr="005D3FE8">
        <w:t>Order Date Range</w:t>
      </w:r>
      <w:bookmarkEnd w:id="56"/>
      <w:bookmarkEnd w:id="57"/>
    </w:p>
    <w:p w14:paraId="7934FE46" w14:textId="6278FCEC" w:rsidR="00CA4988" w:rsidRDefault="0085438A" w:rsidP="00CA2F28">
      <w:pPr>
        <w:pStyle w:val="BodyTextNumbered1"/>
        <w:numPr>
          <w:ilvl w:val="0"/>
          <w:numId w:val="43"/>
        </w:numPr>
      </w:pPr>
      <w:r>
        <w:t xml:space="preserve">On the main Provider Utilities: Reassign </w:t>
      </w:r>
      <w:r w:rsidR="008A5DB7">
        <w:t xml:space="preserve">Patient </w:t>
      </w:r>
      <w:r>
        <w:t xml:space="preserve">Orders </w:t>
      </w:r>
      <w:r w:rsidR="00CA4988">
        <w:t>window</w:t>
      </w:r>
      <w:r w:rsidR="008A5DB7">
        <w:t xml:space="preserve">, select </w:t>
      </w:r>
      <w:r w:rsidR="00CA4988" w:rsidRPr="00CA2F28">
        <w:rPr>
          <w:b/>
        </w:rPr>
        <w:t>Choose Current Provider and Order Dates…</w:t>
      </w:r>
      <w:r w:rsidR="008A5DB7">
        <w:t>.</w:t>
      </w:r>
    </w:p>
    <w:p w14:paraId="6E9048DA" w14:textId="4D830D71" w:rsidR="00CB5E3F" w:rsidRDefault="00CB5E3F" w:rsidP="00CB5E3F">
      <w:pPr>
        <w:pStyle w:val="BodyText"/>
      </w:pPr>
      <w:r>
        <w:rPr>
          <w:noProof/>
        </w:rPr>
        <w:drawing>
          <wp:inline distT="0" distB="0" distL="0" distR="0" wp14:anchorId="37A77BAC" wp14:editId="5D182A13">
            <wp:extent cx="5943600" cy="3512185"/>
            <wp:effectExtent l="0" t="0" r="0" b="0"/>
            <wp:docPr id="15" name="Picture 15" descr="This screen capture shows the Provider Utiities: Reassign Patient Orders dialog with a red box added around the  the Choose Current Provider/Order Dates... button for emph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_Util_main_select_doc_and_Patient_NONE_IN_PANE2018-02-13.gif"/>
                    <pic:cNvPicPr/>
                  </pic:nvPicPr>
                  <pic:blipFill>
                    <a:blip r:embed="rId22">
                      <a:extLst>
                        <a:ext uri="{28A0092B-C50C-407E-A947-70E740481C1C}">
                          <a14:useLocalDpi xmlns:a14="http://schemas.microsoft.com/office/drawing/2010/main" val="0"/>
                        </a:ext>
                      </a:extLst>
                    </a:blip>
                    <a:stretch>
                      <a:fillRect/>
                    </a:stretch>
                  </pic:blipFill>
                  <pic:spPr>
                    <a:xfrm>
                      <a:off x="0" y="0"/>
                      <a:ext cx="5943600" cy="3512185"/>
                    </a:xfrm>
                    <a:prstGeom prst="rect">
                      <a:avLst/>
                    </a:prstGeom>
                  </pic:spPr>
                </pic:pic>
              </a:graphicData>
            </a:graphic>
          </wp:inline>
        </w:drawing>
      </w:r>
    </w:p>
    <w:p w14:paraId="1AA2F3DA" w14:textId="435785B5" w:rsidR="00CB5E3F" w:rsidRPr="008755FF" w:rsidRDefault="00CB5E3F" w:rsidP="00CB5E3F">
      <w:pPr>
        <w:pStyle w:val="Caption"/>
      </w:pPr>
      <w:r>
        <w:t xml:space="preserve">Figure </w:t>
      </w:r>
      <w:fldSimple w:instr=" SEQ Figure \* ARABIC ">
        <w:r w:rsidR="002855B2">
          <w:rPr>
            <w:noProof/>
          </w:rPr>
          <w:t>9</w:t>
        </w:r>
      </w:fldSimple>
      <w:r>
        <w:t xml:space="preserve">: Provider Utilities Main Screen with the Choose Current Provider/Order Dates…button </w:t>
      </w:r>
      <w:r w:rsidR="00A073A2">
        <w:t>red highlighting added for clarity</w:t>
      </w:r>
      <w:r>
        <w:t xml:space="preserve">. </w:t>
      </w:r>
    </w:p>
    <w:p w14:paraId="771AE438" w14:textId="77777777" w:rsidR="00CB5E3F" w:rsidRDefault="00CB5E3F" w:rsidP="00CB5E3F">
      <w:pPr>
        <w:pStyle w:val="Caption"/>
      </w:pPr>
    </w:p>
    <w:p w14:paraId="45DAE249" w14:textId="0D3DAF0B" w:rsidR="008A5DB7" w:rsidRDefault="008A5DB7" w:rsidP="00CA2F28">
      <w:pPr>
        <w:pStyle w:val="BodyTextFirstIndent"/>
      </w:pPr>
      <w:r>
        <w:t xml:space="preserve">The </w:t>
      </w:r>
      <w:r w:rsidR="00CA2F28">
        <w:t>Select Current Provider and Order Dates dialog displays</w:t>
      </w:r>
      <w:r>
        <w:t xml:space="preserve">. </w:t>
      </w:r>
    </w:p>
    <w:p w14:paraId="3127259E" w14:textId="77777777" w:rsidR="008A5DB7" w:rsidRDefault="008A5DB7" w:rsidP="00CA4988"/>
    <w:p w14:paraId="010BAFC8" w14:textId="77777777" w:rsidR="00CA4988" w:rsidRDefault="00CA4988" w:rsidP="00CA4988">
      <w:r>
        <w:rPr>
          <w:noProof/>
        </w:rPr>
        <w:lastRenderedPageBreak/>
        <w:drawing>
          <wp:inline distT="0" distB="0" distL="0" distR="0" wp14:anchorId="2344F4EE" wp14:editId="22EECAAF">
            <wp:extent cx="4200525" cy="3211212"/>
            <wp:effectExtent l="0" t="0" r="0" b="8255"/>
            <wp:docPr id="6" name="Picture 6" descr="This screen capture shows the Select Current Provider and Order Dates dialog. At the top of the dialog is the Order State Date and Order Stop Date fields, where the user can select the date range for orders to be reassigned to a new provider. Below that is the field to chose a current provid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205196" cy="3214783"/>
                    </a:xfrm>
                    <a:prstGeom prst="rect">
                      <a:avLst/>
                    </a:prstGeom>
                  </pic:spPr>
                </pic:pic>
              </a:graphicData>
            </a:graphic>
          </wp:inline>
        </w:drawing>
      </w:r>
    </w:p>
    <w:p w14:paraId="08D9EE90" w14:textId="50A40537" w:rsidR="008A5DB7" w:rsidRDefault="008A5DB7" w:rsidP="008A5DB7">
      <w:pPr>
        <w:pStyle w:val="Caption"/>
      </w:pPr>
      <w:r>
        <w:t xml:space="preserve">Figure </w:t>
      </w:r>
      <w:fldSimple w:instr=" SEQ Figure \* ARABIC  \* MERGEFORMAT ">
        <w:r w:rsidR="002855B2">
          <w:rPr>
            <w:noProof/>
          </w:rPr>
          <w:t>10</w:t>
        </w:r>
      </w:fldSimple>
      <w:r>
        <w:t>:</w:t>
      </w:r>
      <w:r w:rsidR="00CA2F28">
        <w:t xml:space="preserve"> </w:t>
      </w:r>
      <w:r>
        <w:t>The Select Current Provider and Order Dates dialog</w:t>
      </w:r>
    </w:p>
    <w:p w14:paraId="36F307E4" w14:textId="77777777" w:rsidR="00CA2F28" w:rsidRDefault="00CA2F28" w:rsidP="00CA4988"/>
    <w:p w14:paraId="386331CC" w14:textId="2CD5242E" w:rsidR="00CA4988" w:rsidRDefault="00771319" w:rsidP="00CA2F28">
      <w:pPr>
        <w:pStyle w:val="BodyTextNumbered1"/>
        <w:numPr>
          <w:ilvl w:val="0"/>
          <w:numId w:val="43"/>
        </w:numPr>
      </w:pPr>
      <w:r>
        <w:t>Choose</w:t>
      </w:r>
      <w:r w:rsidR="00CA2F28">
        <w:t xml:space="preserve"> a date range. You can either accept the default of one year from today</w:t>
      </w:r>
      <w:r w:rsidR="00C771D2">
        <w:t xml:space="preserve"> or set another date range.</w:t>
      </w:r>
      <w:r w:rsidR="00DD665C">
        <w:t xml:space="preserve"> To accept the default of one year, skip to step 3. To set a new date, select the Start Date calendar control and type a date or use the controls to set the date. Then, do the same with the Stop Date calendar control. </w:t>
      </w:r>
    </w:p>
    <w:p w14:paraId="511E0F62" w14:textId="65D373EA" w:rsidR="00CA4988" w:rsidRDefault="00CA4988" w:rsidP="00DD665C">
      <w:pPr>
        <w:pStyle w:val="BodyTextFirstIndent"/>
      </w:pPr>
      <w:r>
        <w:t>The default stop dat</w:t>
      </w:r>
      <w:r w:rsidR="006A7DC4">
        <w:t>e is “today”</w:t>
      </w:r>
      <w:r>
        <w:t xml:space="preserve">. </w:t>
      </w:r>
      <w:r w:rsidR="006A7DC4">
        <w:t xml:space="preserve">The default Start Date is one year ago. </w:t>
      </w:r>
      <w:r>
        <w:t>Note that you can enter any range in the past up to the current time, but entering a future date is not allowed. Change the stop date if desired.</w:t>
      </w:r>
      <w:r w:rsidR="00DD665C">
        <w:t xml:space="preserve"> </w:t>
      </w:r>
      <w:r>
        <w:t>Note that dates are inclusive. Orders issued at any time of day between the start date and the stop date will be included.</w:t>
      </w:r>
    </w:p>
    <w:p w14:paraId="6C351C0F" w14:textId="77777777" w:rsidR="00CA2F28" w:rsidRDefault="00CA2F28" w:rsidP="00CA2F28">
      <w:pPr>
        <w:pStyle w:val="BodyText"/>
      </w:pPr>
    </w:p>
    <w:p w14:paraId="5C077D55" w14:textId="629E4C33" w:rsidR="00CA2F28" w:rsidRDefault="00CA4988" w:rsidP="00CA2F28">
      <w:pPr>
        <w:pStyle w:val="BodyTextNumbered1"/>
        <w:numPr>
          <w:ilvl w:val="0"/>
          <w:numId w:val="43"/>
        </w:numPr>
      </w:pPr>
      <w:r>
        <w:t>Sel</w:t>
      </w:r>
      <w:r w:rsidR="00AF0332">
        <w:t>ect the</w:t>
      </w:r>
      <w:r w:rsidR="00CA2F28">
        <w:t xml:space="preserve"> current provider, which is </w:t>
      </w:r>
      <w:r>
        <w:t>the provider who is</w:t>
      </w:r>
      <w:r w:rsidR="00541085">
        <w:t>sued the patient orders</w:t>
      </w:r>
      <w:r w:rsidR="00AF0332">
        <w:t xml:space="preserve"> by typing part of the provider’s name in the field, selecting the correct name, and selecting </w:t>
      </w:r>
      <w:r w:rsidR="00AF0332" w:rsidRPr="00AF0332">
        <w:rPr>
          <w:b/>
        </w:rPr>
        <w:t>OK</w:t>
      </w:r>
      <w:r w:rsidR="00AF0332">
        <w:t xml:space="preserve">. </w:t>
      </w:r>
    </w:p>
    <w:p w14:paraId="203AA908" w14:textId="1EE3BA8A" w:rsidR="00CA4988" w:rsidRDefault="00C771D2" w:rsidP="00CA2F28">
      <w:pPr>
        <w:pStyle w:val="BodyTextNumbered1"/>
        <w:numPr>
          <w:ilvl w:val="0"/>
          <w:numId w:val="43"/>
        </w:numPr>
      </w:pPr>
      <w:r>
        <w:t>When you have the provider and the correct date range, select</w:t>
      </w:r>
      <w:r w:rsidR="00CA4988">
        <w:t xml:space="preserve"> </w:t>
      </w:r>
      <w:r w:rsidRPr="00AF0332">
        <w:rPr>
          <w:b/>
        </w:rPr>
        <w:t>OK</w:t>
      </w:r>
      <w:r>
        <w:t>.</w:t>
      </w:r>
    </w:p>
    <w:p w14:paraId="0573586C" w14:textId="72B2068D" w:rsidR="00CA4988" w:rsidRDefault="00AF0332" w:rsidP="00AF0332">
      <w:pPr>
        <w:ind w:left="1710" w:hanging="990"/>
      </w:pPr>
      <w:r w:rsidRPr="00AF0332">
        <w:rPr>
          <w:b/>
        </w:rPr>
        <w:t>Warning:</w:t>
      </w:r>
      <w:r>
        <w:t xml:space="preserve"> </w:t>
      </w:r>
      <w:r>
        <w:tab/>
      </w:r>
      <w:r w:rsidR="00CA4988">
        <w:t xml:space="preserve">Be aware that selecting a new provider and date range will erase any unapplied assignments you’ve made in the main screen. </w:t>
      </w:r>
    </w:p>
    <w:p w14:paraId="3513E9C6" w14:textId="3376AD52" w:rsidR="00CA4988" w:rsidRDefault="00CA4988" w:rsidP="00575879">
      <w:pPr>
        <w:pStyle w:val="Heading3"/>
      </w:pPr>
      <w:bookmarkStart w:id="58" w:name="_Toc501548744"/>
      <w:bookmarkStart w:id="59" w:name="_Toc506368283"/>
      <w:r>
        <w:t xml:space="preserve">Select a </w:t>
      </w:r>
      <w:r w:rsidR="00764301" w:rsidRPr="00A04F5A">
        <w:rPr>
          <w:i/>
        </w:rPr>
        <w:t>New</w:t>
      </w:r>
      <w:r w:rsidR="00764301">
        <w:t xml:space="preserve"> Provider</w:t>
      </w:r>
      <w:bookmarkEnd w:id="58"/>
      <w:bookmarkEnd w:id="59"/>
    </w:p>
    <w:p w14:paraId="7BEA6DEF" w14:textId="2FA7B964" w:rsidR="00541085" w:rsidRDefault="00CA4988" w:rsidP="00CA4988">
      <w:r>
        <w:t xml:space="preserve">You can select one or more new providers to </w:t>
      </w:r>
      <w:r w:rsidR="00CB5E3F">
        <w:t xml:space="preserve">have responsibility for </w:t>
      </w:r>
      <w:r>
        <w:t xml:space="preserve">reassigned orders. </w:t>
      </w:r>
    </w:p>
    <w:p w14:paraId="075B2C00" w14:textId="77777777" w:rsidR="00541085" w:rsidRDefault="00541085" w:rsidP="00B34271">
      <w:pPr>
        <w:pStyle w:val="BodyTextNumbered1"/>
        <w:numPr>
          <w:ilvl w:val="0"/>
          <w:numId w:val="44"/>
        </w:numPr>
      </w:pPr>
      <w:r>
        <w:t>To select a New Provider, select</w:t>
      </w:r>
      <w:r w:rsidR="00CA4988">
        <w:t xml:space="preserve"> </w:t>
      </w:r>
      <w:r>
        <w:t xml:space="preserve">Add New Provider </w:t>
      </w:r>
      <w:r w:rsidR="00CA4988">
        <w:t xml:space="preserve">from the main window. </w:t>
      </w:r>
    </w:p>
    <w:p w14:paraId="507FF7C3" w14:textId="1F67DC51" w:rsidR="00CB5E3F" w:rsidRDefault="00A073A2" w:rsidP="00CB5E3F">
      <w:pPr>
        <w:pStyle w:val="BodyText"/>
      </w:pPr>
      <w:r>
        <w:rPr>
          <w:noProof/>
        </w:rPr>
        <w:lastRenderedPageBreak/>
        <w:drawing>
          <wp:inline distT="0" distB="0" distL="0" distR="0" wp14:anchorId="6E7BC96B" wp14:editId="076A7319">
            <wp:extent cx="5943600" cy="3512185"/>
            <wp:effectExtent l="0" t="0" r="0" b="0"/>
            <wp:docPr id="17" name="Picture 17" descr="This screen capture shows the Provider Utilties: Reassign Patient Orders dialog with a Current Provider and Order dates selected, pateint names below with the number of order for that patient in parentheses after the name. On the right is the Add New Provider button, which can be used to selecet the names of one or more providers to whom the existing orders may be reassigned.A red box was added around the button for emphas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_Util_main_select_doc_and_Patient_Select_NEW_PROVIDER_2018-02-13.gif"/>
                    <pic:cNvPicPr/>
                  </pic:nvPicPr>
                  <pic:blipFill>
                    <a:blip r:embed="rId24">
                      <a:extLst>
                        <a:ext uri="{28A0092B-C50C-407E-A947-70E740481C1C}">
                          <a14:useLocalDpi xmlns:a14="http://schemas.microsoft.com/office/drawing/2010/main" val="0"/>
                        </a:ext>
                      </a:extLst>
                    </a:blip>
                    <a:stretch>
                      <a:fillRect/>
                    </a:stretch>
                  </pic:blipFill>
                  <pic:spPr>
                    <a:xfrm>
                      <a:off x="0" y="0"/>
                      <a:ext cx="5943600" cy="3512185"/>
                    </a:xfrm>
                    <a:prstGeom prst="rect">
                      <a:avLst/>
                    </a:prstGeom>
                  </pic:spPr>
                </pic:pic>
              </a:graphicData>
            </a:graphic>
          </wp:inline>
        </w:drawing>
      </w:r>
    </w:p>
    <w:p w14:paraId="472015EC" w14:textId="24495774" w:rsidR="00A073A2" w:rsidRDefault="00A073A2" w:rsidP="00A073A2">
      <w:pPr>
        <w:pStyle w:val="Caption"/>
      </w:pPr>
      <w:r>
        <w:t xml:space="preserve">Figure </w:t>
      </w:r>
      <w:fldSimple w:instr=" SEQ Figure \* ARABIC  \* MERGEFORMAT ">
        <w:r w:rsidR="002855B2">
          <w:rPr>
            <w:noProof/>
          </w:rPr>
          <w:t>11</w:t>
        </w:r>
      </w:fldSimple>
      <w:r>
        <w:t xml:space="preserve">: The Provider Utilities: Reassign Patient Orders main dialog showing the user selecting the Add New Provider… item, added highlighting for clarity. </w:t>
      </w:r>
    </w:p>
    <w:p w14:paraId="4618F948" w14:textId="77777777" w:rsidR="00A073A2" w:rsidRDefault="00A073A2" w:rsidP="00A073A2">
      <w:pPr>
        <w:pStyle w:val="Caption"/>
      </w:pPr>
    </w:p>
    <w:p w14:paraId="57FC0FCB" w14:textId="0E5931E6" w:rsidR="00CA4988" w:rsidRDefault="00CA4988" w:rsidP="00B34271">
      <w:pPr>
        <w:pStyle w:val="BodyTextNumbered1"/>
        <w:numPr>
          <w:ilvl w:val="0"/>
          <w:numId w:val="44"/>
        </w:numPr>
      </w:pPr>
      <w:r>
        <w:t>Then select a new</w:t>
      </w:r>
      <w:r w:rsidR="00541085">
        <w:t xml:space="preserve"> provider from the popup dialog by typing part of the provider’s name in the field, selecting the correct name, and selecting </w:t>
      </w:r>
      <w:r w:rsidR="00541085" w:rsidRPr="00B34271">
        <w:rPr>
          <w:b/>
        </w:rPr>
        <w:t>OK.</w:t>
      </w:r>
    </w:p>
    <w:p w14:paraId="7BF6C7CB" w14:textId="77777777" w:rsidR="00CA4988" w:rsidRDefault="00CA4988" w:rsidP="00CA4988">
      <w:r>
        <w:rPr>
          <w:noProof/>
        </w:rPr>
        <w:lastRenderedPageBreak/>
        <w:drawing>
          <wp:inline distT="0" distB="0" distL="0" distR="0" wp14:anchorId="5344B2E7" wp14:editId="10F9D117">
            <wp:extent cx="4819650" cy="3684520"/>
            <wp:effectExtent l="0" t="0" r="0" b="0"/>
            <wp:docPr id="9" name="Picture 9" descr="This screen capture shows the Add New Providerr dialog. To select a provider who will be responsible for reassigned order, the user would type part of the provider's name and then select the correct name from the list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824059" cy="3687890"/>
                    </a:xfrm>
                    <a:prstGeom prst="rect">
                      <a:avLst/>
                    </a:prstGeom>
                  </pic:spPr>
                </pic:pic>
              </a:graphicData>
            </a:graphic>
          </wp:inline>
        </w:drawing>
      </w:r>
    </w:p>
    <w:p w14:paraId="34D962BD" w14:textId="1A17DA17" w:rsidR="00C86455" w:rsidRDefault="00C86455" w:rsidP="00C86455">
      <w:pPr>
        <w:pStyle w:val="NoteHeading"/>
        <w:ind w:left="1440" w:hanging="720"/>
      </w:pPr>
      <w:r w:rsidRPr="00C86455">
        <w:rPr>
          <w:b/>
        </w:rPr>
        <w:t>Note:</w:t>
      </w:r>
      <w:r>
        <w:tab/>
        <w:t>The user</w:t>
      </w:r>
      <w:r w:rsidR="00CA4988">
        <w:t xml:space="preserve"> can only select one new provider</w:t>
      </w:r>
      <w:r>
        <w:t xml:space="preserve"> each time the user selects Add New Provider and this dialog opens</w:t>
      </w:r>
      <w:r w:rsidR="00CA4988">
        <w:t xml:space="preserve">. However, Provider Utilities </w:t>
      </w:r>
      <w:r>
        <w:t>enables the user to add multiple new providers to the list on the main dialog and</w:t>
      </w:r>
      <w:r w:rsidR="00CA4988">
        <w:t xml:space="preserve"> distribute current patient orders be</w:t>
      </w:r>
      <w:r>
        <w:t>tween the selected providers</w:t>
      </w:r>
      <w:r w:rsidR="00CA4988">
        <w:t>.</w:t>
      </w:r>
    </w:p>
    <w:p w14:paraId="37DC3D96" w14:textId="12ADC993" w:rsidR="00541085" w:rsidRDefault="00CA4988" w:rsidP="00C86455">
      <w:pPr>
        <w:pStyle w:val="NoteHeading"/>
        <w:ind w:left="1440" w:hanging="720"/>
      </w:pPr>
      <w:r>
        <w:t xml:space="preserve"> </w:t>
      </w:r>
    </w:p>
    <w:p w14:paraId="455BA9E9" w14:textId="1733680E" w:rsidR="00CA4988" w:rsidRDefault="00CA4988" w:rsidP="00B34271">
      <w:pPr>
        <w:pStyle w:val="BodyTextNumbered1"/>
        <w:numPr>
          <w:ilvl w:val="0"/>
          <w:numId w:val="44"/>
        </w:numPr>
      </w:pPr>
      <w:r>
        <w:t xml:space="preserve">To add multiple new providers, simply repeat the steps above as many times as needed. </w:t>
      </w:r>
    </w:p>
    <w:p w14:paraId="68923086" w14:textId="77777777" w:rsidR="00CA4988" w:rsidRPr="007F7A93" w:rsidRDefault="00CA4988" w:rsidP="00CA4988"/>
    <w:p w14:paraId="4B5C7F90" w14:textId="7E4DC64F" w:rsidR="00CA4988" w:rsidRDefault="003C03DA" w:rsidP="00575879">
      <w:pPr>
        <w:pStyle w:val="Heading2"/>
      </w:pPr>
      <w:bookmarkStart w:id="60" w:name="_Toc501548745"/>
      <w:bookmarkStart w:id="61" w:name="_Toc506368284"/>
      <w:r>
        <w:t xml:space="preserve">Viewing </w:t>
      </w:r>
      <w:r w:rsidR="00CA4988">
        <w:t>Order Detail</w:t>
      </w:r>
      <w:bookmarkEnd w:id="60"/>
      <w:r>
        <w:t>s</w:t>
      </w:r>
      <w:bookmarkEnd w:id="61"/>
    </w:p>
    <w:p w14:paraId="703D31AC" w14:textId="1747ADA7" w:rsidR="003F43B3" w:rsidRDefault="00437208" w:rsidP="00473AD4">
      <w:pPr>
        <w:pStyle w:val="BodyText"/>
      </w:pPr>
      <w:r>
        <w:t xml:space="preserve">Once patients are listed in either pane of the main window, the user can view the order details for that patient’s orders. </w:t>
      </w:r>
      <w:r w:rsidR="003F43B3">
        <w:t>To bring up the O</w:t>
      </w:r>
      <w:r w:rsidR="0003411F">
        <w:t>rder</w:t>
      </w:r>
      <w:r w:rsidR="003F43B3">
        <w:t xml:space="preserve"> Detail dialog</w:t>
      </w:r>
      <w:r w:rsidR="0003411F">
        <w:t xml:space="preserve">, the user double-clicks on the patient name or right-clicks on the name to bring up the context menu and then </w:t>
      </w:r>
      <w:r w:rsidR="003F43B3">
        <w:t xml:space="preserve">selects the Show Orders for Patient Under Mouse menu item. </w:t>
      </w:r>
    </w:p>
    <w:p w14:paraId="48AA5E15" w14:textId="0BBB36C3" w:rsidR="00CA4988" w:rsidRDefault="00673AE4" w:rsidP="00473AD4">
      <w:pPr>
        <w:pStyle w:val="BodyText"/>
      </w:pPr>
      <w:r>
        <w:t xml:space="preserve">The qualifying orders for the selected patient are shown on the left of the dialog. </w:t>
      </w:r>
      <w:r w:rsidR="00CA4988">
        <w:t xml:space="preserve">An order list is displayed at screen left. </w:t>
      </w:r>
      <w:r w:rsidR="00473AD4">
        <w:t>Select</w:t>
      </w:r>
      <w:r w:rsidR="00CA4988">
        <w:t xml:space="preserve"> any order to view details at right. </w:t>
      </w:r>
      <w:r w:rsidR="001272F9">
        <w:t xml:space="preserve">Some order may be </w:t>
      </w:r>
      <w:r w:rsidR="00CA4988">
        <w:t xml:space="preserve">in </w:t>
      </w:r>
      <w:r w:rsidR="001272F9">
        <w:t xml:space="preserve">an </w:t>
      </w:r>
      <w:r w:rsidR="00CA4988">
        <w:t>expired or discontinued state</w:t>
      </w:r>
      <w:r w:rsidR="001272F9">
        <w:t xml:space="preserve">, but these orders </w:t>
      </w:r>
      <w:r w:rsidR="00CA4988">
        <w:t>are considered qualifying orders for this feature.</w:t>
      </w:r>
    </w:p>
    <w:p w14:paraId="28308ED0" w14:textId="53BCF504" w:rsidR="00473AD4" w:rsidRDefault="00473AD4" w:rsidP="00473AD4">
      <w:pPr>
        <w:pStyle w:val="BodyText"/>
      </w:pPr>
      <w:r>
        <w:t>To view orders, use these steps:</w:t>
      </w:r>
    </w:p>
    <w:p w14:paraId="15E38048" w14:textId="68798531" w:rsidR="00473AD4" w:rsidRDefault="00473AD4" w:rsidP="007E458A">
      <w:pPr>
        <w:pStyle w:val="BodyTextNumbered1"/>
        <w:numPr>
          <w:ilvl w:val="0"/>
          <w:numId w:val="47"/>
        </w:numPr>
      </w:pPr>
      <w:r>
        <w:t xml:space="preserve">After selecting a Provider and Date range on the main window, a list of patients with qualifying orders should display in the left pane. </w:t>
      </w:r>
    </w:p>
    <w:p w14:paraId="2DC48D9D" w14:textId="21A7B7DB" w:rsidR="00473AD4" w:rsidRDefault="00905089" w:rsidP="00473AD4">
      <w:pPr>
        <w:pStyle w:val="BodyTextNumbered1"/>
      </w:pPr>
      <w:r>
        <w:t xml:space="preserve">Double-click on a patient or right click on a patient and select Show Orders for patient under the mouse. </w:t>
      </w:r>
    </w:p>
    <w:p w14:paraId="514D6850" w14:textId="3A450A86" w:rsidR="00905089" w:rsidRDefault="00905089" w:rsidP="00473AD4">
      <w:pPr>
        <w:pStyle w:val="BodyTextNumbered1"/>
      </w:pPr>
      <w:r>
        <w:t xml:space="preserve">To view the details of an order, highlight the order using by clicking on it or tab to the order and press Shift + F10. </w:t>
      </w:r>
    </w:p>
    <w:p w14:paraId="4AE8259E" w14:textId="77777777" w:rsidR="00CA4988" w:rsidRDefault="00CA4988" w:rsidP="00CA4988">
      <w:pPr>
        <w:keepNext/>
      </w:pPr>
      <w:r>
        <w:rPr>
          <w:noProof/>
        </w:rPr>
        <w:lastRenderedPageBreak/>
        <w:drawing>
          <wp:inline distT="0" distB="0" distL="0" distR="0" wp14:anchorId="713D352D" wp14:editId="19EAD795">
            <wp:extent cx="5943600" cy="3094990"/>
            <wp:effectExtent l="0" t="0" r="0" b="0"/>
            <wp:docPr id="10" name="Picture 10" descr="This screen capture shows the Qualifying Orders dialog where users can review the orders for a patient that qualify for reassignment based on the settings the user defined on the main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3600" cy="3094990"/>
                    </a:xfrm>
                    <a:prstGeom prst="rect">
                      <a:avLst/>
                    </a:prstGeom>
                  </pic:spPr>
                </pic:pic>
              </a:graphicData>
            </a:graphic>
          </wp:inline>
        </w:drawing>
      </w:r>
    </w:p>
    <w:p w14:paraId="46F7FE02" w14:textId="6883FC9B" w:rsidR="00CA4988" w:rsidRDefault="00CA4988" w:rsidP="00CA4988">
      <w:pPr>
        <w:pStyle w:val="Caption"/>
      </w:pPr>
      <w:r>
        <w:t xml:space="preserve">Figure </w:t>
      </w:r>
      <w:fldSimple w:instr=" SEQ Figure \* ARABIC ">
        <w:r w:rsidR="002855B2">
          <w:rPr>
            <w:noProof/>
          </w:rPr>
          <w:t>12</w:t>
        </w:r>
      </w:fldSimple>
      <w:r>
        <w:t>: Order Details</w:t>
      </w:r>
      <w:r w:rsidR="00BE59FC">
        <w:t xml:space="preserve">: The orders are listed on the left. As the user highlights an order on the left, the details are displayed on the right. </w:t>
      </w:r>
    </w:p>
    <w:p w14:paraId="0C97AA1C" w14:textId="7AC30C60" w:rsidR="007E458A" w:rsidRDefault="007E458A" w:rsidP="007E458A">
      <w:pPr>
        <w:pStyle w:val="BodyTextNumbered1"/>
      </w:pPr>
      <w:r>
        <w:t xml:space="preserve">When the user is done reviewing order, select </w:t>
      </w:r>
      <w:r w:rsidRPr="007E458A">
        <w:rPr>
          <w:b/>
        </w:rPr>
        <w:t>Close</w:t>
      </w:r>
      <w:r>
        <w:t xml:space="preserve">. </w:t>
      </w:r>
    </w:p>
    <w:p w14:paraId="32D863E0" w14:textId="77777777" w:rsidR="00CA4988" w:rsidRPr="0044196D" w:rsidRDefault="00CA4988" w:rsidP="00CA4988"/>
    <w:p w14:paraId="327C575A" w14:textId="77777777" w:rsidR="00CA4988" w:rsidRPr="00181D4E" w:rsidRDefault="00CA4988" w:rsidP="00575879">
      <w:pPr>
        <w:pStyle w:val="Heading2"/>
      </w:pPr>
      <w:bookmarkStart w:id="62" w:name="_Toc501548746"/>
      <w:bookmarkStart w:id="63" w:name="_Toc506368285"/>
      <w:r>
        <w:t>Reassign Orders</w:t>
      </w:r>
      <w:bookmarkEnd w:id="62"/>
      <w:bookmarkEnd w:id="63"/>
    </w:p>
    <w:p w14:paraId="672FDC67" w14:textId="5DD6381D" w:rsidR="00CA4988" w:rsidRDefault="00CA4988" w:rsidP="002F6814">
      <w:pPr>
        <w:pStyle w:val="BodyText"/>
      </w:pPr>
      <w:r>
        <w:t xml:space="preserve">After the user </w:t>
      </w:r>
      <w:r w:rsidR="002F6814">
        <w:t>selects the Apply Changes on the main window, the user</w:t>
      </w:r>
      <w:r>
        <w:t xml:space="preserve"> must </w:t>
      </w:r>
      <w:r w:rsidR="002F6814">
        <w:t xml:space="preserve">finalize the </w:t>
      </w:r>
      <w:r>
        <w:t xml:space="preserve">changes </w:t>
      </w:r>
      <w:r w:rsidR="002F6814">
        <w:t>using the Reassign Order (Review and Execute) dialog</w:t>
      </w:r>
      <w:r>
        <w:t xml:space="preserve">. Because this is an irreversible change, </w:t>
      </w:r>
      <w:r w:rsidR="002F6814">
        <w:t xml:space="preserve">Provider Utilities </w:t>
      </w:r>
      <w:r>
        <w:t>require</w:t>
      </w:r>
      <w:r w:rsidR="002F6814">
        <w:t>s</w:t>
      </w:r>
      <w:r>
        <w:t xml:space="preserve"> </w:t>
      </w:r>
      <w:r w:rsidR="002F6814">
        <w:t>this deliberate</w:t>
      </w:r>
      <w:r>
        <w:t xml:space="preserve"> review step. </w:t>
      </w:r>
      <w:r w:rsidR="002F6814">
        <w:t>The Reassign Order (Review and Execute) dialog</w:t>
      </w:r>
      <w:r>
        <w:t xml:space="preserve"> </w:t>
      </w:r>
      <w:r w:rsidR="002F6814">
        <w:t>displays</w:t>
      </w:r>
      <w:r>
        <w:t xml:space="preserve"> the </w:t>
      </w:r>
      <w:r w:rsidR="002F6814">
        <w:t xml:space="preserve">orders that need to be reassigned, and </w:t>
      </w:r>
      <w:r>
        <w:t xml:space="preserve">the user must </w:t>
      </w:r>
      <w:r w:rsidR="002F6814">
        <w:t>select Reassign Orders</w:t>
      </w:r>
      <w:r>
        <w:t xml:space="preserve"> to </w:t>
      </w:r>
      <w:r w:rsidR="002F6814">
        <w:t>complete the reassignment process</w:t>
      </w:r>
      <w:r>
        <w:t>.</w:t>
      </w:r>
    </w:p>
    <w:p w14:paraId="32274AEA" w14:textId="041AAD4F" w:rsidR="00CA4988" w:rsidRDefault="00D4404A" w:rsidP="002F6814">
      <w:pPr>
        <w:pStyle w:val="BodyText"/>
      </w:pPr>
      <w:r>
        <w:t>To complete the order reassignment, use these steps:</w:t>
      </w:r>
    </w:p>
    <w:p w14:paraId="2871B146" w14:textId="0D9CF2C4" w:rsidR="00CA4988" w:rsidRDefault="00D4404A" w:rsidP="00D4404A">
      <w:pPr>
        <w:pStyle w:val="BodyTextNumbered1"/>
        <w:numPr>
          <w:ilvl w:val="0"/>
          <w:numId w:val="48"/>
        </w:numPr>
      </w:pPr>
      <w:r>
        <w:t xml:space="preserve">Accept the default reassignment date of today or change to a future date </w:t>
      </w:r>
      <w:r w:rsidR="00CA4988">
        <w:t>(cannot be earlier than now, but can be a future time/date).</w:t>
      </w:r>
    </w:p>
    <w:p w14:paraId="5371F7BD" w14:textId="79589C7B" w:rsidR="00D4404A" w:rsidRDefault="00D4404A" w:rsidP="00D4404A">
      <w:pPr>
        <w:pStyle w:val="BodyText"/>
      </w:pPr>
      <w:r>
        <w:rPr>
          <w:noProof/>
        </w:rPr>
        <w:lastRenderedPageBreak/>
        <w:drawing>
          <wp:inline distT="0" distB="0" distL="0" distR="0" wp14:anchorId="57781F28" wp14:editId="4317186D">
            <wp:extent cx="5943600" cy="3536315"/>
            <wp:effectExtent l="0" t="0" r="0" b="6985"/>
            <wp:docPr id="11" name="Picture 11" descr="This screen capture shows the Reassign Orders (Review and Execute) dialog listing the orders that will be reassigned to a new provi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3536315"/>
                    </a:xfrm>
                    <a:prstGeom prst="rect">
                      <a:avLst/>
                    </a:prstGeom>
                  </pic:spPr>
                </pic:pic>
              </a:graphicData>
            </a:graphic>
          </wp:inline>
        </w:drawing>
      </w:r>
    </w:p>
    <w:p w14:paraId="0D54A077" w14:textId="0393D918" w:rsidR="004D4CCD" w:rsidRDefault="004D4CCD" w:rsidP="004D4CCD">
      <w:pPr>
        <w:pStyle w:val="Caption"/>
      </w:pPr>
      <w:r>
        <w:t xml:space="preserve">Figure </w:t>
      </w:r>
      <w:fldSimple w:instr=" SEQ Figure \* ARABIC ">
        <w:r w:rsidR="002855B2">
          <w:rPr>
            <w:noProof/>
          </w:rPr>
          <w:t>13</w:t>
        </w:r>
      </w:fldSimple>
      <w:r>
        <w:t xml:space="preserve">: Reassign Orders </w:t>
      </w:r>
      <w:r w:rsidR="000604DF">
        <w:t xml:space="preserve">(Review and Execute) </w:t>
      </w:r>
      <w:r>
        <w:t>dialog</w:t>
      </w:r>
    </w:p>
    <w:p w14:paraId="29C75CED" w14:textId="77777777" w:rsidR="004D4CCD" w:rsidRDefault="004D4CCD" w:rsidP="00D4404A">
      <w:pPr>
        <w:pStyle w:val="BodyText"/>
      </w:pPr>
    </w:p>
    <w:p w14:paraId="2CAAA219" w14:textId="4D3A6246" w:rsidR="00CA4988" w:rsidRDefault="00CA4988" w:rsidP="00D4404A">
      <w:pPr>
        <w:pStyle w:val="BodyTextNumbered1"/>
        <w:numPr>
          <w:ilvl w:val="0"/>
          <w:numId w:val="48"/>
        </w:numPr>
      </w:pPr>
      <w:r>
        <w:t>Review the list of reassigned orders if desired</w:t>
      </w:r>
      <w:r w:rsidR="00D4404A">
        <w:t>.</w:t>
      </w:r>
    </w:p>
    <w:p w14:paraId="135A72D4" w14:textId="1D37B09B" w:rsidR="00D4404A" w:rsidRDefault="004D4CCD" w:rsidP="004D4CCD">
      <w:pPr>
        <w:pStyle w:val="NoteHeading"/>
        <w:ind w:left="1440" w:hanging="720"/>
      </w:pPr>
      <w:r w:rsidRPr="004D4CCD">
        <w:rPr>
          <w:b/>
        </w:rPr>
        <w:t>Note:</w:t>
      </w:r>
      <w:r>
        <w:t xml:space="preserve"> </w:t>
      </w:r>
      <w:r>
        <w:tab/>
        <w:t>It should be noted that this review screen will likely have hundreds or possibly thousands of individual orders. It’s unlikely that a user will actually scroll through this list. We present the list and require another button click mainly as a “stop and pause” feature.</w:t>
      </w:r>
    </w:p>
    <w:p w14:paraId="7C7EDBE8" w14:textId="77777777" w:rsidR="004D4CCD" w:rsidRPr="004D4CCD" w:rsidRDefault="004D4CCD" w:rsidP="004D4CCD"/>
    <w:p w14:paraId="2919607E" w14:textId="62772A7D" w:rsidR="00CA4988" w:rsidRDefault="00D4404A" w:rsidP="00D4404A">
      <w:pPr>
        <w:pStyle w:val="BodyTextNumbered1"/>
        <w:numPr>
          <w:ilvl w:val="0"/>
          <w:numId w:val="48"/>
        </w:numPr>
      </w:pPr>
      <w:r>
        <w:t xml:space="preserve">Select </w:t>
      </w:r>
      <w:r w:rsidRPr="00D4404A">
        <w:rPr>
          <w:b/>
        </w:rPr>
        <w:t>Reassign Orders</w:t>
      </w:r>
      <w:r w:rsidR="00CA4988">
        <w:t xml:space="preserve"> to</w:t>
      </w:r>
      <w:r>
        <w:t xml:space="preserve"> complete reassignment.</w:t>
      </w:r>
    </w:p>
    <w:p w14:paraId="4D977938" w14:textId="77777777" w:rsidR="00CA4988" w:rsidRDefault="00CA4988" w:rsidP="00D4404A">
      <w:pPr>
        <w:pStyle w:val="BodyTextNumbered1"/>
        <w:numPr>
          <w:ilvl w:val="0"/>
          <w:numId w:val="48"/>
        </w:numPr>
      </w:pPr>
      <w:r>
        <w:t>Review the results to see if any reassignments failed.</w:t>
      </w:r>
    </w:p>
    <w:p w14:paraId="47124311" w14:textId="5B05116A" w:rsidR="00CA4988" w:rsidRDefault="00CA4988" w:rsidP="00D4404A">
      <w:pPr>
        <w:pStyle w:val="BodyTextNumbered1"/>
        <w:numPr>
          <w:ilvl w:val="0"/>
          <w:numId w:val="48"/>
        </w:numPr>
      </w:pPr>
      <w:r>
        <w:t xml:space="preserve">Optionally </w:t>
      </w:r>
      <w:r w:rsidR="000604DF">
        <w:t>copy the reassignment results to the Windows clipboard using the popup menu by right-clicking on the order and selecting Copy Results to Clipboard.</w:t>
      </w:r>
    </w:p>
    <w:p w14:paraId="22A3C855" w14:textId="5D7D6377" w:rsidR="00CA4988" w:rsidRDefault="00D4404A" w:rsidP="00D4404A">
      <w:pPr>
        <w:pStyle w:val="BodyTextNumbered1"/>
        <w:numPr>
          <w:ilvl w:val="0"/>
          <w:numId w:val="48"/>
        </w:numPr>
      </w:pPr>
      <w:r>
        <w:t xml:space="preserve">Return to the main window by selecting </w:t>
      </w:r>
      <w:r w:rsidRPr="00D4404A">
        <w:rPr>
          <w:b/>
        </w:rPr>
        <w:t>Close</w:t>
      </w:r>
      <w:r>
        <w:t>.</w:t>
      </w:r>
    </w:p>
    <w:p w14:paraId="0049209A" w14:textId="04C0F3E0" w:rsidR="00CA4988" w:rsidRDefault="00CA4988" w:rsidP="00CA4988">
      <w:pPr>
        <w:keepNext/>
      </w:pPr>
    </w:p>
    <w:p w14:paraId="5B5A5B4C" w14:textId="22BCA133" w:rsidR="00CA4988" w:rsidRDefault="000604DF" w:rsidP="00CA4988">
      <w:r>
        <w:t xml:space="preserve">The </w:t>
      </w:r>
      <w:r w:rsidR="00CA4988">
        <w:t xml:space="preserve">list is very valuable after reassignment, as any failures will be indicated. </w:t>
      </w:r>
    </w:p>
    <w:p w14:paraId="3980D468" w14:textId="77777777" w:rsidR="000604DF" w:rsidRDefault="000604DF" w:rsidP="00CA4988"/>
    <w:p w14:paraId="346D520D" w14:textId="353E438B" w:rsidR="00CA4988" w:rsidRDefault="00CA4988" w:rsidP="00CA4988">
      <w:r>
        <w:t xml:space="preserve">Below </w:t>
      </w:r>
      <w:r w:rsidR="000604DF">
        <w:t>is a screen capture showing</w:t>
      </w:r>
      <w:r>
        <w:t xml:space="preserve"> the text report pasted into Notepad. It contains patient-sensitive information that must be properly handled.</w:t>
      </w:r>
    </w:p>
    <w:p w14:paraId="60F187CD" w14:textId="77777777" w:rsidR="00CA4988" w:rsidRDefault="00CA4988" w:rsidP="00CA4988">
      <w:r>
        <w:rPr>
          <w:noProof/>
        </w:rPr>
        <w:lastRenderedPageBreak/>
        <w:drawing>
          <wp:inline distT="0" distB="0" distL="0" distR="0" wp14:anchorId="0E88F3B1" wp14:editId="5816EF9B">
            <wp:extent cx="5943600" cy="1945640"/>
            <wp:effectExtent l="0" t="0" r="0" b="0"/>
            <wp:docPr id="12" name="Picture 12" descr="This screen capture shows the data from the orders pasted into a Notepad applic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3600" cy="1945640"/>
                    </a:xfrm>
                    <a:prstGeom prst="rect">
                      <a:avLst/>
                    </a:prstGeom>
                  </pic:spPr>
                </pic:pic>
              </a:graphicData>
            </a:graphic>
          </wp:inline>
        </w:drawing>
      </w:r>
    </w:p>
    <w:p w14:paraId="2CF39D77" w14:textId="77777777" w:rsidR="00CA4988" w:rsidRDefault="00CA4988" w:rsidP="00CA4988"/>
    <w:p w14:paraId="5BA0593D" w14:textId="77777777" w:rsidR="00080748" w:rsidRDefault="00080748" w:rsidP="00AA618B">
      <w:pPr>
        <w:pStyle w:val="Heading1"/>
      </w:pPr>
      <w:bookmarkStart w:id="64" w:name="_Toc506368286"/>
      <w:r>
        <w:t>Troubleshooting</w:t>
      </w:r>
      <w:bookmarkEnd w:id="64"/>
    </w:p>
    <w:p w14:paraId="5BA0593E" w14:textId="32936D88" w:rsidR="008C652C" w:rsidRDefault="00601EBF" w:rsidP="00601EBF">
      <w:pPr>
        <w:pStyle w:val="BodyText"/>
      </w:pPr>
      <w:r>
        <w:t xml:space="preserve">If the user receives and error that they are not authorized to use Provider Utilities, check to see if the user is assigned the OR PU ACCESS key. </w:t>
      </w:r>
    </w:p>
    <w:p w14:paraId="5BA0593F" w14:textId="77777777" w:rsidR="001A483C" w:rsidRDefault="001A483C" w:rsidP="001A483C">
      <w:pPr>
        <w:pStyle w:val="Heading2"/>
      </w:pPr>
      <w:bookmarkStart w:id="65" w:name="_Toc506368287"/>
      <w:r>
        <w:t>Special Instructions for Error Correction</w:t>
      </w:r>
      <w:bookmarkEnd w:id="65"/>
    </w:p>
    <w:p w14:paraId="5BA05940" w14:textId="77777777" w:rsidR="001A483C" w:rsidRDefault="001A483C" w:rsidP="001A483C">
      <w:pPr>
        <w:pStyle w:val="InstructionalText1"/>
      </w:pPr>
      <w:r>
        <w:t>Describe all recovery and error correction procedures, including error conditions that may be generated and corrective actions that may need to be taken.</w:t>
      </w:r>
    </w:p>
    <w:p w14:paraId="5BA05941" w14:textId="77777777" w:rsidR="008C652C" w:rsidRPr="008400DE" w:rsidRDefault="008C652C" w:rsidP="00AA618B">
      <w:pPr>
        <w:pStyle w:val="Heading1"/>
      </w:pPr>
      <w:bookmarkStart w:id="66" w:name="_Toc506368288"/>
      <w:r w:rsidRPr="008400DE">
        <w:t>Acronyms and Abbreviations</w:t>
      </w:r>
      <w:bookmarkEnd w:id="66"/>
    </w:p>
    <w:tbl>
      <w:tblPr>
        <w:tblStyle w:val="TableGrid"/>
        <w:tblW w:w="0" w:type="auto"/>
        <w:tblLook w:val="04A0" w:firstRow="1" w:lastRow="0" w:firstColumn="1" w:lastColumn="0" w:noHBand="0" w:noVBand="1"/>
      </w:tblPr>
      <w:tblGrid>
        <w:gridCol w:w="4788"/>
        <w:gridCol w:w="4788"/>
      </w:tblGrid>
      <w:tr w:rsidR="00227679" w14:paraId="7387B70C" w14:textId="77777777" w:rsidTr="00DC7A25">
        <w:tc>
          <w:tcPr>
            <w:tcW w:w="4788" w:type="dxa"/>
          </w:tcPr>
          <w:p w14:paraId="79F85146" w14:textId="77E2375A" w:rsidR="00227679" w:rsidRDefault="00227679" w:rsidP="00DC7A25">
            <w:pPr>
              <w:pStyle w:val="BodyText"/>
            </w:pPr>
            <w:r>
              <w:t>2FA</w:t>
            </w:r>
          </w:p>
        </w:tc>
        <w:tc>
          <w:tcPr>
            <w:tcW w:w="4788" w:type="dxa"/>
          </w:tcPr>
          <w:p w14:paraId="4652DA26" w14:textId="57B18CA6" w:rsidR="00227679" w:rsidRDefault="00227679" w:rsidP="00227679">
            <w:pPr>
              <w:pStyle w:val="BodyText"/>
            </w:pPr>
            <w:r>
              <w:t xml:space="preserve">Two-Factor Authentication </w:t>
            </w:r>
          </w:p>
        </w:tc>
      </w:tr>
      <w:tr w:rsidR="005C7269" w14:paraId="246385F5" w14:textId="77777777" w:rsidTr="00DC7A25">
        <w:tc>
          <w:tcPr>
            <w:tcW w:w="4788" w:type="dxa"/>
          </w:tcPr>
          <w:p w14:paraId="150DBE6A" w14:textId="65EF7B7B" w:rsidR="005C7269" w:rsidRDefault="005C7269" w:rsidP="00DC7A25">
            <w:pPr>
              <w:pStyle w:val="BodyText"/>
            </w:pPr>
            <w:r>
              <w:t>CAC</w:t>
            </w:r>
          </w:p>
        </w:tc>
        <w:tc>
          <w:tcPr>
            <w:tcW w:w="4788" w:type="dxa"/>
          </w:tcPr>
          <w:p w14:paraId="4B4EAD84" w14:textId="04CDCAF3" w:rsidR="005C7269" w:rsidRPr="007A1298" w:rsidRDefault="005C7269" w:rsidP="00DC7A25">
            <w:pPr>
              <w:pStyle w:val="BodyText"/>
            </w:pPr>
            <w:r>
              <w:t xml:space="preserve">Clinical Application Coordinator </w:t>
            </w:r>
          </w:p>
        </w:tc>
      </w:tr>
      <w:tr w:rsidR="00DC7A25" w14:paraId="6E7A85D8" w14:textId="77777777" w:rsidTr="00DC7A25">
        <w:tc>
          <w:tcPr>
            <w:tcW w:w="4788" w:type="dxa"/>
          </w:tcPr>
          <w:p w14:paraId="795EF780" w14:textId="1FB95982" w:rsidR="00DC7A25" w:rsidRDefault="007A1298" w:rsidP="00DC7A25">
            <w:pPr>
              <w:pStyle w:val="BodyText"/>
            </w:pPr>
            <w:r>
              <w:t>CD</w:t>
            </w:r>
            <w:r w:rsidR="00DC7A25">
              <w:t>2</w:t>
            </w:r>
          </w:p>
        </w:tc>
        <w:tc>
          <w:tcPr>
            <w:tcW w:w="4788" w:type="dxa"/>
          </w:tcPr>
          <w:p w14:paraId="4B49EF9F" w14:textId="0E3ED02F" w:rsidR="00DC7A25" w:rsidRDefault="007A1298" w:rsidP="00DC7A25">
            <w:pPr>
              <w:pStyle w:val="BodyText"/>
            </w:pPr>
            <w:r w:rsidRPr="007A1298">
              <w:t>Critical Decision Point #2</w:t>
            </w:r>
          </w:p>
        </w:tc>
      </w:tr>
      <w:tr w:rsidR="00DC7A25" w14:paraId="50D5FCE0" w14:textId="77777777" w:rsidTr="00DC7A25">
        <w:tc>
          <w:tcPr>
            <w:tcW w:w="4788" w:type="dxa"/>
          </w:tcPr>
          <w:p w14:paraId="6D6D9C90" w14:textId="75A5DC55" w:rsidR="00DC7A25" w:rsidRDefault="00DC7A25" w:rsidP="00DC7A25">
            <w:pPr>
              <w:pStyle w:val="BodyText"/>
            </w:pPr>
            <w:r>
              <w:t>CPRS</w:t>
            </w:r>
          </w:p>
        </w:tc>
        <w:tc>
          <w:tcPr>
            <w:tcW w:w="4788" w:type="dxa"/>
          </w:tcPr>
          <w:p w14:paraId="211C2C23" w14:textId="57C70F81" w:rsidR="00DC7A25" w:rsidRDefault="00DC7A25" w:rsidP="00DC7A25">
            <w:pPr>
              <w:pStyle w:val="BodyText"/>
            </w:pPr>
            <w:r>
              <w:t>Computerized Patient Record System.</w:t>
            </w:r>
          </w:p>
        </w:tc>
      </w:tr>
      <w:tr w:rsidR="00DC7A25" w14:paraId="3141924D" w14:textId="77777777" w:rsidTr="00DC7A25">
        <w:tc>
          <w:tcPr>
            <w:tcW w:w="4788" w:type="dxa"/>
          </w:tcPr>
          <w:p w14:paraId="3C530620" w14:textId="2278BF20" w:rsidR="00DC7A25" w:rsidRDefault="007A1298" w:rsidP="00DC7A25">
            <w:pPr>
              <w:pStyle w:val="BodyText"/>
            </w:pPr>
            <w:r>
              <w:t>DOD</w:t>
            </w:r>
          </w:p>
        </w:tc>
        <w:tc>
          <w:tcPr>
            <w:tcW w:w="4788" w:type="dxa"/>
          </w:tcPr>
          <w:p w14:paraId="581ED0EA" w14:textId="0D48FDE7" w:rsidR="00DC7A25" w:rsidRDefault="007A1298" w:rsidP="00DC7A25">
            <w:pPr>
              <w:pStyle w:val="BodyText"/>
            </w:pPr>
            <w:r>
              <w:t>Department of Defense</w:t>
            </w:r>
          </w:p>
        </w:tc>
      </w:tr>
      <w:tr w:rsidR="00A7198C" w14:paraId="30D15ABD" w14:textId="77777777" w:rsidTr="00DC7A25">
        <w:tc>
          <w:tcPr>
            <w:tcW w:w="4788" w:type="dxa"/>
          </w:tcPr>
          <w:p w14:paraId="7F1C0DFA" w14:textId="731BAAD9" w:rsidR="00A7198C" w:rsidRDefault="00A7198C" w:rsidP="00DC7A25">
            <w:pPr>
              <w:pStyle w:val="BodyText"/>
            </w:pPr>
            <w:r w:rsidRPr="00A7198C">
              <w:t>GUI</w:t>
            </w:r>
          </w:p>
        </w:tc>
        <w:tc>
          <w:tcPr>
            <w:tcW w:w="4788" w:type="dxa"/>
          </w:tcPr>
          <w:p w14:paraId="725137AA" w14:textId="077644F1" w:rsidR="00A7198C" w:rsidRPr="00A7198C" w:rsidRDefault="00A7198C" w:rsidP="00DC7A25">
            <w:pPr>
              <w:pStyle w:val="BodyText"/>
            </w:pPr>
            <w:r>
              <w:t>Graphical User Interface</w:t>
            </w:r>
          </w:p>
        </w:tc>
      </w:tr>
      <w:tr w:rsidR="00A7198C" w14:paraId="0CCDEABA" w14:textId="77777777" w:rsidTr="00DC7A25">
        <w:tc>
          <w:tcPr>
            <w:tcW w:w="4788" w:type="dxa"/>
          </w:tcPr>
          <w:p w14:paraId="176AA7F5" w14:textId="52B29C63" w:rsidR="00A7198C" w:rsidRDefault="00A7198C" w:rsidP="00DC7A25">
            <w:pPr>
              <w:pStyle w:val="BodyText"/>
            </w:pPr>
            <w:r>
              <w:t>ITOPS</w:t>
            </w:r>
          </w:p>
        </w:tc>
        <w:tc>
          <w:tcPr>
            <w:tcW w:w="4788" w:type="dxa"/>
          </w:tcPr>
          <w:p w14:paraId="71BA2297" w14:textId="5EA70366" w:rsidR="00A7198C" w:rsidRDefault="00A7198C" w:rsidP="00DC7A25">
            <w:pPr>
              <w:pStyle w:val="BodyText"/>
            </w:pPr>
            <w:r w:rsidRPr="00A7198C">
              <w:t>Information Technology Operations and Services (formerly known as Service Delivery and Engineering [SDE])</w:t>
            </w:r>
          </w:p>
        </w:tc>
      </w:tr>
      <w:tr w:rsidR="00C135BC" w14:paraId="7494D90B" w14:textId="77777777" w:rsidTr="00FE70A8">
        <w:tc>
          <w:tcPr>
            <w:tcW w:w="4788" w:type="dxa"/>
          </w:tcPr>
          <w:p w14:paraId="76E9B881" w14:textId="39BF59BA" w:rsidR="00C135BC" w:rsidRPr="007A1298" w:rsidRDefault="00C135BC" w:rsidP="00FE70A8">
            <w:pPr>
              <w:pStyle w:val="BodyText"/>
            </w:pPr>
            <w:r>
              <w:t>MVI</w:t>
            </w:r>
          </w:p>
        </w:tc>
        <w:tc>
          <w:tcPr>
            <w:tcW w:w="4788" w:type="dxa"/>
          </w:tcPr>
          <w:p w14:paraId="7F582BCA" w14:textId="1D1495B1" w:rsidR="00C135BC" w:rsidRDefault="00C135BC" w:rsidP="00C135BC">
            <w:pPr>
              <w:pStyle w:val="BodyText"/>
            </w:pPr>
            <w:r>
              <w:t xml:space="preserve">Master Veteran Index </w:t>
            </w:r>
          </w:p>
        </w:tc>
      </w:tr>
      <w:tr w:rsidR="00A7198C" w14:paraId="69473354" w14:textId="77777777" w:rsidTr="00FE70A8">
        <w:tc>
          <w:tcPr>
            <w:tcW w:w="4788" w:type="dxa"/>
          </w:tcPr>
          <w:p w14:paraId="79BFB2CE" w14:textId="77777777" w:rsidR="00A7198C" w:rsidRDefault="00A7198C" w:rsidP="00FE70A8">
            <w:pPr>
              <w:pStyle w:val="BodyText"/>
            </w:pPr>
            <w:r w:rsidRPr="007A1298">
              <w:t>NSR</w:t>
            </w:r>
          </w:p>
        </w:tc>
        <w:tc>
          <w:tcPr>
            <w:tcW w:w="4788" w:type="dxa"/>
          </w:tcPr>
          <w:p w14:paraId="4A3B8AC3" w14:textId="77777777" w:rsidR="00A7198C" w:rsidRDefault="00A7198C" w:rsidP="00FE70A8">
            <w:pPr>
              <w:pStyle w:val="BodyText"/>
            </w:pPr>
            <w:r>
              <w:t>New Service Request</w:t>
            </w:r>
          </w:p>
        </w:tc>
      </w:tr>
      <w:tr w:rsidR="00CE32C2" w14:paraId="0374F0C6" w14:textId="77777777" w:rsidTr="00DC7A25">
        <w:tc>
          <w:tcPr>
            <w:tcW w:w="4788" w:type="dxa"/>
          </w:tcPr>
          <w:p w14:paraId="09E0DF5B" w14:textId="02D52E0C" w:rsidR="00CE32C2" w:rsidRDefault="00CE32C2" w:rsidP="00DC7A25">
            <w:pPr>
              <w:pStyle w:val="BodyText"/>
            </w:pPr>
            <w:r>
              <w:t>PIN</w:t>
            </w:r>
          </w:p>
        </w:tc>
        <w:tc>
          <w:tcPr>
            <w:tcW w:w="4788" w:type="dxa"/>
          </w:tcPr>
          <w:p w14:paraId="12E55830" w14:textId="15E810B2" w:rsidR="00CE32C2" w:rsidRDefault="00CE32C2" w:rsidP="00CE32C2">
            <w:pPr>
              <w:pStyle w:val="BodyText"/>
            </w:pPr>
            <w:r>
              <w:t xml:space="preserve">Personal Identification Number </w:t>
            </w:r>
          </w:p>
        </w:tc>
      </w:tr>
      <w:tr w:rsidR="00A7198C" w14:paraId="344CFFA6" w14:textId="77777777" w:rsidTr="00DC7A25">
        <w:tc>
          <w:tcPr>
            <w:tcW w:w="4788" w:type="dxa"/>
          </w:tcPr>
          <w:p w14:paraId="0D584591" w14:textId="241AF718" w:rsidR="00A7198C" w:rsidRPr="00A7198C" w:rsidRDefault="00CE32C2" w:rsidP="00DC7A25">
            <w:pPr>
              <w:pStyle w:val="BodyText"/>
            </w:pPr>
            <w:r>
              <w:lastRenderedPageBreak/>
              <w:t>PIV</w:t>
            </w:r>
          </w:p>
        </w:tc>
        <w:tc>
          <w:tcPr>
            <w:tcW w:w="4788" w:type="dxa"/>
          </w:tcPr>
          <w:p w14:paraId="0E7186CC" w14:textId="4E761BF2" w:rsidR="00A7198C" w:rsidRPr="00A7198C" w:rsidRDefault="00CE32C2" w:rsidP="00CE32C2">
            <w:pPr>
              <w:pStyle w:val="BodyText"/>
            </w:pPr>
            <w:r>
              <w:t xml:space="preserve">Personal Identification Verification </w:t>
            </w:r>
          </w:p>
        </w:tc>
      </w:tr>
      <w:tr w:rsidR="00DC7A25" w14:paraId="6997394D" w14:textId="77777777" w:rsidTr="00DC7A25">
        <w:tc>
          <w:tcPr>
            <w:tcW w:w="4788" w:type="dxa"/>
          </w:tcPr>
          <w:p w14:paraId="3B966007" w14:textId="384E9276" w:rsidR="00DC7A25" w:rsidRDefault="00A7198C" w:rsidP="00DC7A25">
            <w:pPr>
              <w:pStyle w:val="BodyText"/>
            </w:pPr>
            <w:r w:rsidRPr="00A7198C">
              <w:t>SDE</w:t>
            </w:r>
          </w:p>
        </w:tc>
        <w:tc>
          <w:tcPr>
            <w:tcW w:w="4788" w:type="dxa"/>
          </w:tcPr>
          <w:p w14:paraId="12EEAE09" w14:textId="1D7E9755" w:rsidR="00DC7A25" w:rsidRDefault="00A7198C" w:rsidP="00DC7A25">
            <w:pPr>
              <w:pStyle w:val="BodyText"/>
            </w:pPr>
            <w:r w:rsidRPr="00A7198C">
              <w:t>Service Delivery and Engineering</w:t>
            </w:r>
          </w:p>
        </w:tc>
      </w:tr>
      <w:tr w:rsidR="00DC7A25" w14:paraId="2ED82970" w14:textId="77777777" w:rsidTr="00DC7A25">
        <w:tc>
          <w:tcPr>
            <w:tcW w:w="4788" w:type="dxa"/>
          </w:tcPr>
          <w:p w14:paraId="0CE2A524" w14:textId="13018A39" w:rsidR="00DC7A25" w:rsidRDefault="005C7269" w:rsidP="00DC7A25">
            <w:pPr>
              <w:pStyle w:val="BodyText"/>
            </w:pPr>
            <w:r>
              <w:t>VA</w:t>
            </w:r>
          </w:p>
        </w:tc>
        <w:tc>
          <w:tcPr>
            <w:tcW w:w="4788" w:type="dxa"/>
          </w:tcPr>
          <w:p w14:paraId="6DE6159D" w14:textId="3D206847" w:rsidR="00DC7A25" w:rsidRDefault="005C7269" w:rsidP="00DC7A25">
            <w:pPr>
              <w:pStyle w:val="BodyText"/>
            </w:pPr>
            <w:r>
              <w:t>Veterans Affairs</w:t>
            </w:r>
          </w:p>
        </w:tc>
      </w:tr>
      <w:tr w:rsidR="00C135BC" w14:paraId="51EB6B2D" w14:textId="77777777" w:rsidTr="00DC7A25">
        <w:tc>
          <w:tcPr>
            <w:tcW w:w="4788" w:type="dxa"/>
          </w:tcPr>
          <w:p w14:paraId="0D1DE470" w14:textId="41EB8EA6" w:rsidR="00C135BC" w:rsidRPr="00DC7A25" w:rsidRDefault="00C135BC" w:rsidP="00DC7A25">
            <w:pPr>
              <w:pStyle w:val="BodyText"/>
            </w:pPr>
            <w:r>
              <w:t>VDL</w:t>
            </w:r>
          </w:p>
        </w:tc>
        <w:tc>
          <w:tcPr>
            <w:tcW w:w="4788" w:type="dxa"/>
          </w:tcPr>
          <w:p w14:paraId="4ED163B8" w14:textId="45937989" w:rsidR="00C135BC" w:rsidRPr="00DC7A25" w:rsidRDefault="0042362C" w:rsidP="00C135BC">
            <w:pPr>
              <w:pStyle w:val="BodyText"/>
            </w:pPr>
            <w:r>
              <w:t>V</w:t>
            </w:r>
            <w:r w:rsidR="00C135BC">
              <w:t xml:space="preserve">A Document Library </w:t>
            </w:r>
          </w:p>
        </w:tc>
      </w:tr>
      <w:tr w:rsidR="00DC7A25" w14:paraId="492819ED" w14:textId="77777777" w:rsidTr="00DC7A25">
        <w:tc>
          <w:tcPr>
            <w:tcW w:w="4788" w:type="dxa"/>
          </w:tcPr>
          <w:p w14:paraId="35BA7BD7" w14:textId="6476998A" w:rsidR="00DC7A25" w:rsidRDefault="00DC7A25" w:rsidP="00DC7A25">
            <w:pPr>
              <w:pStyle w:val="BodyText"/>
            </w:pPr>
            <w:r w:rsidRPr="00DC7A25">
              <w:t>VIP</w:t>
            </w:r>
          </w:p>
        </w:tc>
        <w:tc>
          <w:tcPr>
            <w:tcW w:w="4788" w:type="dxa"/>
          </w:tcPr>
          <w:p w14:paraId="4E2DABE4" w14:textId="250D1263" w:rsidR="00DC7A25" w:rsidRDefault="00DC7A25" w:rsidP="00DC7A25">
            <w:pPr>
              <w:pStyle w:val="BodyText"/>
            </w:pPr>
            <w:r w:rsidRPr="00DC7A25">
              <w:t>Veteran-focused Integration Process</w:t>
            </w:r>
          </w:p>
        </w:tc>
      </w:tr>
      <w:tr w:rsidR="00DC7A25" w14:paraId="5D03CB94" w14:textId="77777777" w:rsidTr="00DC7A25">
        <w:tc>
          <w:tcPr>
            <w:tcW w:w="4788" w:type="dxa"/>
          </w:tcPr>
          <w:p w14:paraId="2277799C" w14:textId="24AB8B92" w:rsidR="00DC7A25" w:rsidRDefault="007A1298" w:rsidP="00DC7A25">
            <w:pPr>
              <w:pStyle w:val="BodyText"/>
            </w:pPr>
            <w:r>
              <w:t>VistA</w:t>
            </w:r>
          </w:p>
        </w:tc>
        <w:tc>
          <w:tcPr>
            <w:tcW w:w="4788" w:type="dxa"/>
          </w:tcPr>
          <w:p w14:paraId="5C810759" w14:textId="14E8F3DF" w:rsidR="00DC7A25" w:rsidRDefault="007A1298" w:rsidP="00DC7A25">
            <w:pPr>
              <w:pStyle w:val="BodyText"/>
            </w:pPr>
            <w:r w:rsidRPr="007A1298">
              <w:t>Veterans Health Information Systems and Technology Architecture</w:t>
            </w:r>
          </w:p>
        </w:tc>
      </w:tr>
    </w:tbl>
    <w:p w14:paraId="1D3E14CE" w14:textId="77777777" w:rsidR="00DC7A25" w:rsidRDefault="00DC7A25" w:rsidP="00DC7A25">
      <w:pPr>
        <w:pStyle w:val="BodyText"/>
      </w:pPr>
    </w:p>
    <w:p w14:paraId="5BA05944" w14:textId="77777777" w:rsidR="00B56B78" w:rsidRPr="008400DE" w:rsidRDefault="00B56B78" w:rsidP="00AA618B">
      <w:pPr>
        <w:pStyle w:val="Heading1"/>
      </w:pPr>
      <w:bookmarkStart w:id="67" w:name="_Toc506368289"/>
      <w:r w:rsidRPr="008400DE">
        <w:t>Appendix</w:t>
      </w:r>
      <w:bookmarkEnd w:id="67"/>
    </w:p>
    <w:p w14:paraId="5BA05945" w14:textId="77777777" w:rsidR="00B40906" w:rsidRPr="008400DE" w:rsidRDefault="008400DE" w:rsidP="00C23006">
      <w:pPr>
        <w:pStyle w:val="InstructionalText1"/>
      </w:pPr>
      <w:r>
        <w:t>Appendices are optional. They are used to amplify</w:t>
      </w:r>
      <w:r w:rsidR="00B40906" w:rsidRPr="008400DE">
        <w:t xml:space="preserve"> information that is not included as part of the </w:t>
      </w:r>
      <w:r>
        <w:t>main content</w:t>
      </w:r>
      <w:r w:rsidR="00B40906" w:rsidRPr="008400DE">
        <w:t>. Example</w:t>
      </w:r>
      <w:r w:rsidR="00C23006">
        <w:t xml:space="preserve"> content for appendices</w:t>
      </w:r>
      <w:r w:rsidR="00B40906" w:rsidRPr="008400DE">
        <w:t xml:space="preserve"> might be:</w:t>
      </w:r>
    </w:p>
    <w:p w14:paraId="5BA05946" w14:textId="77777777" w:rsidR="00B40906" w:rsidRPr="008400DE" w:rsidRDefault="00B40906" w:rsidP="004105A6">
      <w:pPr>
        <w:pStyle w:val="InstructionalBullet1"/>
      </w:pPr>
      <w:r w:rsidRPr="008400DE">
        <w:t>User functional matrix</w:t>
      </w:r>
    </w:p>
    <w:p w14:paraId="5BA05947" w14:textId="77777777" w:rsidR="00051533" w:rsidRPr="008400DE" w:rsidRDefault="00B40906" w:rsidP="00051533">
      <w:pPr>
        <w:pStyle w:val="InstructionalBullet1"/>
      </w:pPr>
      <w:r w:rsidRPr="008400DE">
        <w:t>Table of user roles and responsibilities</w:t>
      </w:r>
    </w:p>
    <w:p w14:paraId="5BA05948" w14:textId="77777777" w:rsidR="00753814" w:rsidRPr="002B0049" w:rsidRDefault="00753814" w:rsidP="002B0049">
      <w:pPr>
        <w:pStyle w:val="Heading1"/>
      </w:pPr>
      <w:bookmarkStart w:id="68" w:name="_Toc506368290"/>
      <w:r w:rsidRPr="002B0049">
        <w:t>Index</w:t>
      </w:r>
      <w:bookmarkEnd w:id="68"/>
    </w:p>
    <w:p w14:paraId="5BA05949" w14:textId="77777777" w:rsidR="008C652C" w:rsidRDefault="002B3527" w:rsidP="002B0049">
      <w:pPr>
        <w:pStyle w:val="InstructionalText1"/>
      </w:pPr>
      <w:r>
        <w:t>An Index is optional;</w:t>
      </w:r>
      <w:r w:rsidRPr="0081292E">
        <w:t xml:space="preserve"> since </w:t>
      </w:r>
      <w:r>
        <w:t>all documents are available online, users can do a search.</w:t>
      </w:r>
      <w:r w:rsidRPr="0081292E">
        <w:t xml:space="preserve"> However, Indexes are helpful for manuals that may be printed.</w:t>
      </w:r>
    </w:p>
    <w:p w14:paraId="5BA0594A" w14:textId="77777777" w:rsidR="00A63D6C" w:rsidRPr="00A63D6C" w:rsidRDefault="00A63D6C" w:rsidP="00D83E24">
      <w:pPr>
        <w:pStyle w:val="InstructionalText1"/>
      </w:pPr>
      <w:r>
        <w:t xml:space="preserve">NOTE: Use </w:t>
      </w:r>
      <w:r w:rsidR="00464730">
        <w:t>MS-</w:t>
      </w:r>
      <w:r>
        <w:t xml:space="preserve">Word to generate the Index so that page numbers can be updated programmatically; do </w:t>
      </w:r>
      <w:r w:rsidRPr="00464730">
        <w:rPr>
          <w:u w:val="single"/>
        </w:rPr>
        <w:t>not</w:t>
      </w:r>
      <w:r>
        <w:t xml:space="preserve"> create the index manually.</w:t>
      </w:r>
    </w:p>
    <w:p w14:paraId="5BA0594B" w14:textId="77777777" w:rsidR="000A0911" w:rsidRDefault="000A0911">
      <w:pPr>
        <w:rPr>
          <w:rFonts w:ascii="Arial" w:hAnsi="Arial" w:cs="Arial"/>
          <w:b/>
          <w:bCs/>
          <w:sz w:val="28"/>
          <w:szCs w:val="32"/>
        </w:rPr>
      </w:pPr>
      <w:r>
        <w:br w:type="page"/>
      </w:r>
    </w:p>
    <w:p w14:paraId="5BA0594C" w14:textId="77777777" w:rsidR="009F5E75" w:rsidRDefault="009F5E75" w:rsidP="003417C9">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Table used for formatting, only."/>
        <w:tblDescription w:val="Template Revision History, including date of changes, version number, description of change, and author of change."/>
      </w:tblPr>
      <w:tblGrid>
        <w:gridCol w:w="1800"/>
        <w:gridCol w:w="1023"/>
        <w:gridCol w:w="4215"/>
        <w:gridCol w:w="2538"/>
      </w:tblGrid>
      <w:tr w:rsidR="009F5E75" w:rsidRPr="005068FD" w14:paraId="5BA05951" w14:textId="77777777" w:rsidTr="000F204E">
        <w:trPr>
          <w:cantSplit/>
          <w:tblHeader/>
        </w:trPr>
        <w:tc>
          <w:tcPr>
            <w:tcW w:w="940" w:type="pct"/>
            <w:shd w:val="clear" w:color="auto" w:fill="F2F2F2"/>
          </w:tcPr>
          <w:p w14:paraId="5BA0594D" w14:textId="77777777" w:rsidR="009F5E75" w:rsidRPr="005068FD" w:rsidRDefault="009F5E75" w:rsidP="00947AE3">
            <w:pPr>
              <w:pStyle w:val="TableHeading"/>
            </w:pPr>
            <w:bookmarkStart w:id="69" w:name="ColumnTitle_04"/>
            <w:bookmarkEnd w:id="69"/>
            <w:r w:rsidRPr="005068FD">
              <w:t>Date</w:t>
            </w:r>
          </w:p>
        </w:tc>
        <w:tc>
          <w:tcPr>
            <w:tcW w:w="534" w:type="pct"/>
            <w:shd w:val="clear" w:color="auto" w:fill="F2F2F2"/>
          </w:tcPr>
          <w:p w14:paraId="5BA0594E" w14:textId="77777777" w:rsidR="009F5E75" w:rsidRPr="005068FD" w:rsidRDefault="009F5E75" w:rsidP="00947AE3">
            <w:pPr>
              <w:pStyle w:val="TableHeading"/>
            </w:pPr>
            <w:r w:rsidRPr="005068FD">
              <w:t>Version</w:t>
            </w:r>
          </w:p>
        </w:tc>
        <w:tc>
          <w:tcPr>
            <w:tcW w:w="2201" w:type="pct"/>
            <w:shd w:val="clear" w:color="auto" w:fill="F2F2F2"/>
          </w:tcPr>
          <w:p w14:paraId="5BA0594F" w14:textId="77777777" w:rsidR="009F5E75" w:rsidRPr="005068FD" w:rsidRDefault="009F5E75" w:rsidP="00947AE3">
            <w:pPr>
              <w:pStyle w:val="TableHeading"/>
            </w:pPr>
            <w:r w:rsidRPr="005068FD">
              <w:t>Description</w:t>
            </w:r>
          </w:p>
        </w:tc>
        <w:tc>
          <w:tcPr>
            <w:tcW w:w="1325" w:type="pct"/>
            <w:shd w:val="clear" w:color="auto" w:fill="F2F2F2"/>
          </w:tcPr>
          <w:p w14:paraId="5BA05950" w14:textId="77777777" w:rsidR="009F5E75" w:rsidRPr="005068FD" w:rsidRDefault="009F5E75" w:rsidP="00947AE3">
            <w:pPr>
              <w:pStyle w:val="TableHeading"/>
            </w:pPr>
            <w:r w:rsidRPr="005068FD">
              <w:t>Author</w:t>
            </w:r>
          </w:p>
        </w:tc>
      </w:tr>
      <w:tr w:rsidR="0081116F" w14:paraId="7884AAC1" w14:textId="77777777" w:rsidTr="000F204E">
        <w:trPr>
          <w:cantSplit/>
        </w:trPr>
        <w:tc>
          <w:tcPr>
            <w:tcW w:w="940" w:type="pct"/>
          </w:tcPr>
          <w:p w14:paraId="7331C3C2" w14:textId="149798D0" w:rsidR="0081116F" w:rsidRDefault="0081116F" w:rsidP="007B3D18">
            <w:pPr>
              <w:pStyle w:val="TableText"/>
            </w:pPr>
            <w:r>
              <w:t>March 2016</w:t>
            </w:r>
          </w:p>
        </w:tc>
        <w:tc>
          <w:tcPr>
            <w:tcW w:w="534" w:type="pct"/>
          </w:tcPr>
          <w:p w14:paraId="572FEB7A" w14:textId="16CE3038" w:rsidR="0081116F" w:rsidRDefault="0081116F" w:rsidP="007B3D18">
            <w:pPr>
              <w:pStyle w:val="TableText"/>
            </w:pPr>
            <w:r>
              <w:t>1.7</w:t>
            </w:r>
          </w:p>
        </w:tc>
        <w:tc>
          <w:tcPr>
            <w:tcW w:w="2201" w:type="pct"/>
          </w:tcPr>
          <w:p w14:paraId="646986DA" w14:textId="3337AFB7" w:rsidR="0081116F" w:rsidRDefault="0081116F" w:rsidP="007B3D18">
            <w:pPr>
              <w:pStyle w:val="TableText"/>
            </w:pPr>
            <w:r>
              <w:t>Updated to align with new VIP policies and processes</w:t>
            </w:r>
          </w:p>
        </w:tc>
        <w:tc>
          <w:tcPr>
            <w:tcW w:w="1325" w:type="pct"/>
          </w:tcPr>
          <w:p w14:paraId="3F6749BD" w14:textId="7F1C80D9" w:rsidR="0081116F" w:rsidRDefault="0081116F" w:rsidP="007B3D18">
            <w:pPr>
              <w:pStyle w:val="TableText"/>
            </w:pPr>
            <w:r>
              <w:t>VIP Business Office</w:t>
            </w:r>
          </w:p>
        </w:tc>
      </w:tr>
      <w:tr w:rsidR="007559CE" w14:paraId="5BA05956" w14:textId="77777777" w:rsidTr="000F204E">
        <w:trPr>
          <w:cantSplit/>
        </w:trPr>
        <w:tc>
          <w:tcPr>
            <w:tcW w:w="940" w:type="pct"/>
          </w:tcPr>
          <w:p w14:paraId="5BA05952" w14:textId="77777777" w:rsidR="007559CE" w:rsidRDefault="007559CE" w:rsidP="007B3D18">
            <w:pPr>
              <w:pStyle w:val="TableText"/>
            </w:pPr>
            <w:r>
              <w:t>December 2015</w:t>
            </w:r>
          </w:p>
        </w:tc>
        <w:tc>
          <w:tcPr>
            <w:tcW w:w="534" w:type="pct"/>
          </w:tcPr>
          <w:p w14:paraId="5BA05953" w14:textId="77777777" w:rsidR="007559CE" w:rsidRDefault="007559CE" w:rsidP="007B3D18">
            <w:pPr>
              <w:pStyle w:val="TableText"/>
            </w:pPr>
            <w:r>
              <w:t>1.6</w:t>
            </w:r>
          </w:p>
        </w:tc>
        <w:tc>
          <w:tcPr>
            <w:tcW w:w="2201" w:type="pct"/>
          </w:tcPr>
          <w:p w14:paraId="5BA05954" w14:textId="77777777" w:rsidR="007559CE" w:rsidRDefault="007559CE" w:rsidP="007B3D18">
            <w:pPr>
              <w:pStyle w:val="TableText"/>
            </w:pPr>
            <w:r>
              <w:t>Updated to align with current OI&amp;T Documentation Standards, edited to conform with latest Section 508 guidelines, and remediated with Common Look Office tool</w:t>
            </w:r>
          </w:p>
        </w:tc>
        <w:tc>
          <w:tcPr>
            <w:tcW w:w="1325" w:type="pct"/>
          </w:tcPr>
          <w:p w14:paraId="5BA05955" w14:textId="77777777" w:rsidR="007559CE" w:rsidRDefault="007559CE" w:rsidP="007B3D18">
            <w:pPr>
              <w:pStyle w:val="TableText"/>
            </w:pPr>
            <w:r>
              <w:t>Process Management</w:t>
            </w:r>
          </w:p>
        </w:tc>
      </w:tr>
      <w:tr w:rsidR="00D6157B" w14:paraId="5BA0595B" w14:textId="77777777" w:rsidTr="000F204E">
        <w:trPr>
          <w:cantSplit/>
        </w:trPr>
        <w:tc>
          <w:tcPr>
            <w:tcW w:w="940" w:type="pct"/>
          </w:tcPr>
          <w:p w14:paraId="5BA05957" w14:textId="77777777" w:rsidR="00D6157B" w:rsidRDefault="00D6157B" w:rsidP="007B3D18">
            <w:pPr>
              <w:pStyle w:val="TableText"/>
            </w:pPr>
            <w:r>
              <w:t>June 2015</w:t>
            </w:r>
          </w:p>
        </w:tc>
        <w:tc>
          <w:tcPr>
            <w:tcW w:w="534" w:type="pct"/>
          </w:tcPr>
          <w:p w14:paraId="5BA05958" w14:textId="77777777" w:rsidR="00D6157B" w:rsidRDefault="00D6157B" w:rsidP="007B3D18">
            <w:pPr>
              <w:pStyle w:val="TableText"/>
            </w:pPr>
            <w:r>
              <w:t>1.5</w:t>
            </w:r>
          </w:p>
        </w:tc>
        <w:tc>
          <w:tcPr>
            <w:tcW w:w="2201" w:type="pct"/>
          </w:tcPr>
          <w:p w14:paraId="5BA05959" w14:textId="77777777" w:rsidR="00D6157B" w:rsidRDefault="00D6157B" w:rsidP="007B3D18">
            <w:pPr>
              <w:pStyle w:val="TableText"/>
            </w:pPr>
            <w:r>
              <w:t>Edited to conform with Section 508 guidelines and remediated with Common Look Office tool</w:t>
            </w:r>
          </w:p>
        </w:tc>
        <w:tc>
          <w:tcPr>
            <w:tcW w:w="1325" w:type="pct"/>
          </w:tcPr>
          <w:p w14:paraId="5BA0595A" w14:textId="77777777" w:rsidR="00D6157B" w:rsidRDefault="00D6157B" w:rsidP="007B3D18">
            <w:pPr>
              <w:pStyle w:val="TableText"/>
            </w:pPr>
            <w:r>
              <w:t>Process Management</w:t>
            </w:r>
          </w:p>
        </w:tc>
      </w:tr>
      <w:tr w:rsidR="00567037" w14:paraId="5BA05960" w14:textId="77777777" w:rsidTr="000F204E">
        <w:trPr>
          <w:cantSplit/>
        </w:trPr>
        <w:tc>
          <w:tcPr>
            <w:tcW w:w="940" w:type="pct"/>
          </w:tcPr>
          <w:p w14:paraId="5BA0595C" w14:textId="77777777" w:rsidR="00567037" w:rsidRDefault="00567037" w:rsidP="007B3D18">
            <w:pPr>
              <w:pStyle w:val="TableText"/>
            </w:pPr>
            <w:r>
              <w:t>May 2015</w:t>
            </w:r>
          </w:p>
        </w:tc>
        <w:tc>
          <w:tcPr>
            <w:tcW w:w="534" w:type="pct"/>
          </w:tcPr>
          <w:p w14:paraId="5BA0595D" w14:textId="77777777" w:rsidR="00567037" w:rsidRDefault="00567037" w:rsidP="007B3D18">
            <w:pPr>
              <w:pStyle w:val="TableText"/>
            </w:pPr>
            <w:r>
              <w:t>1.4</w:t>
            </w:r>
          </w:p>
        </w:tc>
        <w:tc>
          <w:tcPr>
            <w:tcW w:w="2201" w:type="pct"/>
          </w:tcPr>
          <w:p w14:paraId="5BA0595E" w14:textId="5765EC52" w:rsidR="00567037" w:rsidRDefault="00567037" w:rsidP="007B3D18">
            <w:pPr>
              <w:pStyle w:val="TableText"/>
            </w:pPr>
            <w:r>
              <w:t>Reviewed and approved by PMAS Process Improvement Lockd</w:t>
            </w:r>
            <w:r w:rsidR="0081116F">
              <w:t>own. Updated instructional test</w:t>
            </w:r>
          </w:p>
        </w:tc>
        <w:tc>
          <w:tcPr>
            <w:tcW w:w="1325" w:type="pct"/>
          </w:tcPr>
          <w:p w14:paraId="5BA0595F" w14:textId="77777777" w:rsidR="00567037" w:rsidRDefault="00567037" w:rsidP="007B3D18">
            <w:pPr>
              <w:pStyle w:val="TableText"/>
            </w:pPr>
            <w:r>
              <w:t>Process Management</w:t>
            </w:r>
          </w:p>
        </w:tc>
      </w:tr>
      <w:tr w:rsidR="000F204E" w14:paraId="5BA05965" w14:textId="77777777" w:rsidTr="000F204E">
        <w:trPr>
          <w:cantSplit/>
        </w:trPr>
        <w:tc>
          <w:tcPr>
            <w:tcW w:w="940" w:type="pct"/>
          </w:tcPr>
          <w:p w14:paraId="5BA05961" w14:textId="77777777" w:rsidR="000F204E" w:rsidRDefault="000F204E" w:rsidP="007B3D18">
            <w:pPr>
              <w:pStyle w:val="TableText"/>
            </w:pPr>
            <w:r>
              <w:t>November 2014</w:t>
            </w:r>
          </w:p>
        </w:tc>
        <w:tc>
          <w:tcPr>
            <w:tcW w:w="534" w:type="pct"/>
          </w:tcPr>
          <w:p w14:paraId="5BA05962" w14:textId="77777777" w:rsidR="000F204E" w:rsidRDefault="000F204E" w:rsidP="007B3D18">
            <w:pPr>
              <w:pStyle w:val="TableText"/>
            </w:pPr>
            <w:r>
              <w:t>1.3</w:t>
            </w:r>
          </w:p>
        </w:tc>
        <w:tc>
          <w:tcPr>
            <w:tcW w:w="2201" w:type="pct"/>
          </w:tcPr>
          <w:p w14:paraId="5BA05963" w14:textId="77777777" w:rsidR="000F204E" w:rsidRDefault="000F204E" w:rsidP="007B3D18">
            <w:pPr>
              <w:pStyle w:val="TableText"/>
            </w:pPr>
            <w:r>
              <w:t>Updated to conform with latest Section 508 guidelines and remediated with Common Look Office tool</w:t>
            </w:r>
          </w:p>
        </w:tc>
        <w:tc>
          <w:tcPr>
            <w:tcW w:w="1325" w:type="pct"/>
          </w:tcPr>
          <w:p w14:paraId="5BA05964" w14:textId="77777777" w:rsidR="000F204E" w:rsidRDefault="000F204E" w:rsidP="007B3D18">
            <w:pPr>
              <w:pStyle w:val="TableText"/>
            </w:pPr>
            <w:r>
              <w:t>Process Management</w:t>
            </w:r>
          </w:p>
        </w:tc>
      </w:tr>
      <w:tr w:rsidR="007A29EE" w14:paraId="5BA0596A" w14:textId="77777777" w:rsidTr="000F204E">
        <w:trPr>
          <w:cantSplit/>
        </w:trPr>
        <w:tc>
          <w:tcPr>
            <w:tcW w:w="940" w:type="pct"/>
          </w:tcPr>
          <w:p w14:paraId="5BA05966" w14:textId="77777777" w:rsidR="007A29EE" w:rsidRDefault="007A29EE" w:rsidP="007B3D18">
            <w:pPr>
              <w:pStyle w:val="TableText"/>
            </w:pPr>
            <w:r>
              <w:t>April 2014</w:t>
            </w:r>
          </w:p>
        </w:tc>
        <w:tc>
          <w:tcPr>
            <w:tcW w:w="534" w:type="pct"/>
          </w:tcPr>
          <w:p w14:paraId="5BA05967" w14:textId="77777777" w:rsidR="007A29EE" w:rsidRDefault="007A29EE" w:rsidP="007B3D18">
            <w:pPr>
              <w:pStyle w:val="TableText"/>
            </w:pPr>
            <w:r>
              <w:t>1.2</w:t>
            </w:r>
          </w:p>
        </w:tc>
        <w:tc>
          <w:tcPr>
            <w:tcW w:w="2201" w:type="pct"/>
          </w:tcPr>
          <w:p w14:paraId="5BA05968" w14:textId="77777777" w:rsidR="007A29EE" w:rsidRPr="00ED2EC8" w:rsidRDefault="007A29EE" w:rsidP="007B3D18">
            <w:pPr>
              <w:pStyle w:val="TableText"/>
            </w:pPr>
            <w:r>
              <w:t>Changed title page to clarify that version number refers to software version</w:t>
            </w:r>
          </w:p>
        </w:tc>
        <w:tc>
          <w:tcPr>
            <w:tcW w:w="1325" w:type="pct"/>
          </w:tcPr>
          <w:p w14:paraId="5BA05969" w14:textId="77777777" w:rsidR="007A29EE" w:rsidRDefault="007A29EE" w:rsidP="007B3D18">
            <w:pPr>
              <w:pStyle w:val="TableText"/>
            </w:pPr>
            <w:r>
              <w:t>Process Management</w:t>
            </w:r>
          </w:p>
        </w:tc>
      </w:tr>
      <w:tr w:rsidR="00F91A26" w14:paraId="5BA0596F" w14:textId="77777777" w:rsidTr="000F204E">
        <w:trPr>
          <w:cantSplit/>
        </w:trPr>
        <w:tc>
          <w:tcPr>
            <w:tcW w:w="940" w:type="pct"/>
          </w:tcPr>
          <w:p w14:paraId="5BA0596B" w14:textId="77777777" w:rsidR="00F91A26" w:rsidRDefault="009071B9" w:rsidP="007B3D18">
            <w:pPr>
              <w:pStyle w:val="TableText"/>
            </w:pPr>
            <w:r>
              <w:t>April</w:t>
            </w:r>
            <w:r w:rsidR="00F91A26">
              <w:t xml:space="preserve"> 2011</w:t>
            </w:r>
          </w:p>
        </w:tc>
        <w:tc>
          <w:tcPr>
            <w:tcW w:w="534" w:type="pct"/>
          </w:tcPr>
          <w:p w14:paraId="5BA0596C" w14:textId="77777777" w:rsidR="00F91A26" w:rsidRDefault="00F91A26" w:rsidP="007B3D18">
            <w:pPr>
              <w:pStyle w:val="TableText"/>
            </w:pPr>
            <w:r>
              <w:t>1.1</w:t>
            </w:r>
          </w:p>
        </w:tc>
        <w:tc>
          <w:tcPr>
            <w:tcW w:w="2201" w:type="pct"/>
          </w:tcPr>
          <w:p w14:paraId="5BA0596D" w14:textId="77777777" w:rsidR="00F91A26" w:rsidRDefault="00ED2EC8" w:rsidP="007B3D18">
            <w:pPr>
              <w:pStyle w:val="TableText"/>
            </w:pPr>
            <w:r w:rsidRPr="00ED2EC8">
              <w:t>Formatted to current ProPath documentation standards and edited to conform with latest Alternative Text (Section 508) guidelines</w:t>
            </w:r>
          </w:p>
        </w:tc>
        <w:tc>
          <w:tcPr>
            <w:tcW w:w="1325" w:type="pct"/>
          </w:tcPr>
          <w:p w14:paraId="5BA0596E" w14:textId="77777777" w:rsidR="00F91A26" w:rsidRDefault="00F91A26" w:rsidP="007B3D18">
            <w:pPr>
              <w:pStyle w:val="TableText"/>
            </w:pPr>
            <w:r>
              <w:t>Process Management</w:t>
            </w:r>
          </w:p>
        </w:tc>
      </w:tr>
      <w:tr w:rsidR="009F5E75" w14:paraId="5BA05974" w14:textId="77777777" w:rsidTr="000F204E">
        <w:trPr>
          <w:cantSplit/>
        </w:trPr>
        <w:tc>
          <w:tcPr>
            <w:tcW w:w="940" w:type="pct"/>
          </w:tcPr>
          <w:p w14:paraId="5BA05970" w14:textId="77777777" w:rsidR="009F5E75" w:rsidRPr="005068FD" w:rsidRDefault="009F5E75" w:rsidP="00947AE3">
            <w:pPr>
              <w:pStyle w:val="TableText"/>
            </w:pPr>
            <w:r>
              <w:t>June 2009</w:t>
            </w:r>
          </w:p>
        </w:tc>
        <w:tc>
          <w:tcPr>
            <w:tcW w:w="534" w:type="pct"/>
          </w:tcPr>
          <w:p w14:paraId="5BA05971" w14:textId="77777777" w:rsidR="009F5E75" w:rsidRDefault="009F5E75" w:rsidP="00947AE3">
            <w:pPr>
              <w:pStyle w:val="TableText"/>
            </w:pPr>
            <w:r>
              <w:t>1.0</w:t>
            </w:r>
          </w:p>
        </w:tc>
        <w:tc>
          <w:tcPr>
            <w:tcW w:w="2201" w:type="pct"/>
          </w:tcPr>
          <w:p w14:paraId="5BA05972" w14:textId="77777777" w:rsidR="009F5E75" w:rsidRDefault="009F5E75" w:rsidP="00947AE3">
            <w:pPr>
              <w:pStyle w:val="TableText"/>
            </w:pPr>
            <w:r>
              <w:t>Initial Version</w:t>
            </w:r>
          </w:p>
        </w:tc>
        <w:tc>
          <w:tcPr>
            <w:tcW w:w="1325" w:type="pct"/>
          </w:tcPr>
          <w:p w14:paraId="5BA05973" w14:textId="77777777" w:rsidR="009F5E75" w:rsidRDefault="00ED2EC8" w:rsidP="00947AE3">
            <w:pPr>
              <w:pStyle w:val="TableText"/>
            </w:pPr>
            <w:r>
              <w:t>PMAS Business Office</w:t>
            </w:r>
          </w:p>
        </w:tc>
      </w:tr>
    </w:tbl>
    <w:p w14:paraId="5BA05975" w14:textId="77777777" w:rsidR="00F7216E" w:rsidRDefault="00F7216E" w:rsidP="004F3A80"/>
    <w:p w14:paraId="5BA05976" w14:textId="77777777" w:rsidR="006244C7" w:rsidRPr="006244C7" w:rsidRDefault="006244C7" w:rsidP="006244C7">
      <w:pPr>
        <w:pStyle w:val="InstructionalText1"/>
      </w:pPr>
      <w:r w:rsidRPr="006244C7">
        <w:t>Place latest revisions at top of table.</w:t>
      </w:r>
    </w:p>
    <w:p w14:paraId="5BA05977" w14:textId="77777777" w:rsidR="00BA0022" w:rsidRDefault="00BA0022" w:rsidP="00BA0022">
      <w:pPr>
        <w:pStyle w:val="InstructionalText1"/>
      </w:pPr>
      <w:r w:rsidRPr="003E1F9E">
        <w:t>The Template Revision History</w:t>
      </w:r>
      <w:r>
        <w:t xml:space="preserve"> can be removed or moved to the “Revision History” section at the discretion of the author of the document. If removed, it is recommended that the author indicate the template version used as the baseline for the User Guide in the first entry in the “Document Revision History” table.</w:t>
      </w:r>
    </w:p>
    <w:p w14:paraId="5BA05978" w14:textId="77777777" w:rsidR="00086D68" w:rsidRDefault="00086D68" w:rsidP="00086D68">
      <w:pPr>
        <w:pStyle w:val="InstructionalText1"/>
      </w:pPr>
      <w:r w:rsidRPr="003E1F9E">
        <w:t>The Template Revision History</w:t>
      </w:r>
      <w:r>
        <w:t xml:space="preserve"> can be removed at the discretion of the author of the document.</w:t>
      </w:r>
    </w:p>
    <w:p w14:paraId="5BA05979" w14:textId="77777777" w:rsidR="00086D68" w:rsidRDefault="00086D68" w:rsidP="00086D68">
      <w:pPr>
        <w:pStyle w:val="InstructionalText1"/>
      </w:pPr>
      <w:r>
        <w:t>Remove blank rows.</w:t>
      </w:r>
    </w:p>
    <w:p w14:paraId="5BA0597A" w14:textId="77777777" w:rsidR="004105A6" w:rsidRDefault="004105A6" w:rsidP="004105A6">
      <w:pPr>
        <w:pStyle w:val="InstructionalText1"/>
      </w:pPr>
      <w:r w:rsidRPr="002B0049">
        <w:rPr>
          <w:b/>
        </w:rPr>
        <w:t xml:space="preserve">ALERT: Delete </w:t>
      </w:r>
      <w:r w:rsidRPr="000A56B4">
        <w:rPr>
          <w:b/>
          <w:u w:val="single"/>
        </w:rPr>
        <w:t>all</w:t>
      </w:r>
      <w:r w:rsidRPr="002B0049">
        <w:rPr>
          <w:b/>
        </w:rPr>
        <w:t xml:space="preserve"> Instructional Text before publishing or distributing this document!</w:t>
      </w:r>
    </w:p>
    <w:p w14:paraId="5BA0597B" w14:textId="77777777" w:rsidR="00086D68" w:rsidRPr="004F3A80" w:rsidRDefault="00086D68" w:rsidP="006244C7">
      <w:pPr>
        <w:pStyle w:val="InstructionalText1"/>
      </w:pPr>
    </w:p>
    <w:sectPr w:rsidR="00086D68" w:rsidRPr="004F3A80" w:rsidSect="005577B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C7B2C" w14:textId="77777777" w:rsidR="0032253D" w:rsidRDefault="0032253D">
      <w:r>
        <w:separator/>
      </w:r>
    </w:p>
    <w:p w14:paraId="764E1E0C" w14:textId="77777777" w:rsidR="0032253D" w:rsidRDefault="0032253D"/>
  </w:endnote>
  <w:endnote w:type="continuationSeparator" w:id="0">
    <w:p w14:paraId="13A7CBAA" w14:textId="77777777" w:rsidR="0032253D" w:rsidRDefault="0032253D">
      <w:r>
        <w:continuationSeparator/>
      </w:r>
    </w:p>
    <w:p w14:paraId="273D0017" w14:textId="77777777" w:rsidR="0032253D" w:rsidRDefault="003225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05991" w14:textId="77777777" w:rsidR="008B14CB" w:rsidRPr="00BC27D3" w:rsidRDefault="008B14CB" w:rsidP="00BC27D3">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6B143" w14:textId="77777777" w:rsidR="0032253D" w:rsidRDefault="0032253D">
      <w:r>
        <w:separator/>
      </w:r>
    </w:p>
    <w:p w14:paraId="0F6B44BD" w14:textId="77777777" w:rsidR="0032253D" w:rsidRDefault="0032253D"/>
  </w:footnote>
  <w:footnote w:type="continuationSeparator" w:id="0">
    <w:p w14:paraId="19691575" w14:textId="77777777" w:rsidR="0032253D" w:rsidRDefault="0032253D">
      <w:r>
        <w:continuationSeparator/>
      </w:r>
    </w:p>
    <w:p w14:paraId="6F68E66B" w14:textId="77777777" w:rsidR="0032253D" w:rsidRDefault="0032253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5E10C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60D2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B63F8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2045C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046F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A1441840"/>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D8607DD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F6BC563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9DD47D5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5267E5"/>
    <w:multiLevelType w:val="hybridMultilevel"/>
    <w:tmpl w:val="0F4C2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4F0FEF"/>
    <w:multiLevelType w:val="hybridMultilevel"/>
    <w:tmpl w:val="0E4A9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22B2357"/>
    <w:multiLevelType w:val="hybridMultilevel"/>
    <w:tmpl w:val="0E80B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A010B9"/>
    <w:multiLevelType w:val="hybridMultilevel"/>
    <w:tmpl w:val="59C8E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88381C"/>
    <w:multiLevelType w:val="hybridMultilevel"/>
    <w:tmpl w:val="89CE14E0"/>
    <w:lvl w:ilvl="0" w:tplc="400800FE">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C608EE"/>
    <w:multiLevelType w:val="hybridMultilevel"/>
    <w:tmpl w:val="645A5E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61538DE"/>
    <w:multiLevelType w:val="hybridMultilevel"/>
    <w:tmpl w:val="AF084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51602"/>
    <w:multiLevelType w:val="hybridMultilevel"/>
    <w:tmpl w:val="C1265C86"/>
    <w:lvl w:ilvl="0" w:tplc="FFD2A280">
      <w:start w:val="1"/>
      <w:numFmt w:val="bullet"/>
      <w:lvlText w:val=""/>
      <w:lvlJc w:val="left"/>
      <w:pPr>
        <w:ind w:left="3690" w:hanging="360"/>
      </w:pPr>
      <w:rPr>
        <w:rFonts w:ascii="Symbol" w:hAnsi="Symbol" w:hint="default"/>
      </w:rPr>
    </w:lvl>
    <w:lvl w:ilvl="1" w:tplc="0E808AFE">
      <w:start w:val="1"/>
      <w:numFmt w:val="bullet"/>
      <w:lvlText w:val="o"/>
      <w:lvlJc w:val="left"/>
      <w:pPr>
        <w:ind w:left="2520" w:hanging="360"/>
      </w:pPr>
      <w:rPr>
        <w:rFonts w:ascii="Courier New" w:hAnsi="Courier New" w:cs="Courier New" w:hint="default"/>
      </w:rPr>
    </w:lvl>
    <w:lvl w:ilvl="2" w:tplc="AB1CEEB6">
      <w:start w:val="1"/>
      <w:numFmt w:val="bullet"/>
      <w:lvlText w:val=""/>
      <w:lvlJc w:val="left"/>
      <w:pPr>
        <w:ind w:left="3240" w:hanging="360"/>
      </w:pPr>
      <w:rPr>
        <w:rFonts w:ascii="Wingdings" w:hAnsi="Wingdings" w:hint="default"/>
      </w:rPr>
    </w:lvl>
    <w:lvl w:ilvl="3" w:tplc="588C8976" w:tentative="1">
      <w:start w:val="1"/>
      <w:numFmt w:val="bullet"/>
      <w:lvlText w:val=""/>
      <w:lvlJc w:val="left"/>
      <w:pPr>
        <w:ind w:left="3960" w:hanging="360"/>
      </w:pPr>
      <w:rPr>
        <w:rFonts w:ascii="Symbol" w:hAnsi="Symbol" w:hint="default"/>
      </w:rPr>
    </w:lvl>
    <w:lvl w:ilvl="4" w:tplc="D86C693C" w:tentative="1">
      <w:start w:val="1"/>
      <w:numFmt w:val="bullet"/>
      <w:lvlText w:val="o"/>
      <w:lvlJc w:val="left"/>
      <w:pPr>
        <w:ind w:left="4680" w:hanging="360"/>
      </w:pPr>
      <w:rPr>
        <w:rFonts w:ascii="Courier New" w:hAnsi="Courier New" w:cs="Courier New" w:hint="default"/>
      </w:rPr>
    </w:lvl>
    <w:lvl w:ilvl="5" w:tplc="AB2E7C18" w:tentative="1">
      <w:start w:val="1"/>
      <w:numFmt w:val="bullet"/>
      <w:lvlText w:val=""/>
      <w:lvlJc w:val="left"/>
      <w:pPr>
        <w:ind w:left="5400" w:hanging="360"/>
      </w:pPr>
      <w:rPr>
        <w:rFonts w:ascii="Wingdings" w:hAnsi="Wingdings" w:hint="default"/>
      </w:rPr>
    </w:lvl>
    <w:lvl w:ilvl="6" w:tplc="22DEE9AC" w:tentative="1">
      <w:start w:val="1"/>
      <w:numFmt w:val="bullet"/>
      <w:lvlText w:val=""/>
      <w:lvlJc w:val="left"/>
      <w:pPr>
        <w:ind w:left="6120" w:hanging="360"/>
      </w:pPr>
      <w:rPr>
        <w:rFonts w:ascii="Symbol" w:hAnsi="Symbol" w:hint="default"/>
      </w:rPr>
    </w:lvl>
    <w:lvl w:ilvl="7" w:tplc="28DCEDF8" w:tentative="1">
      <w:start w:val="1"/>
      <w:numFmt w:val="bullet"/>
      <w:lvlText w:val="o"/>
      <w:lvlJc w:val="left"/>
      <w:pPr>
        <w:ind w:left="6840" w:hanging="360"/>
      </w:pPr>
      <w:rPr>
        <w:rFonts w:ascii="Courier New" w:hAnsi="Courier New" w:cs="Courier New" w:hint="default"/>
      </w:rPr>
    </w:lvl>
    <w:lvl w:ilvl="8" w:tplc="D8C0EF6A" w:tentative="1">
      <w:start w:val="1"/>
      <w:numFmt w:val="bullet"/>
      <w:lvlText w:val=""/>
      <w:lvlJc w:val="left"/>
      <w:pPr>
        <w:ind w:left="7560" w:hanging="360"/>
      </w:pPr>
      <w:rPr>
        <w:rFonts w:ascii="Wingdings" w:hAnsi="Wingdings" w:hint="default"/>
      </w:rPr>
    </w:lvl>
  </w:abstractNum>
  <w:abstractNum w:abstractNumId="18" w15:restartNumberingAfterBreak="0">
    <w:nsid w:val="28196FBE"/>
    <w:multiLevelType w:val="hybridMultilevel"/>
    <w:tmpl w:val="4216D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9E02F1"/>
    <w:multiLevelType w:val="hybridMultilevel"/>
    <w:tmpl w:val="F87403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AC57595"/>
    <w:multiLevelType w:val="hybridMultilevel"/>
    <w:tmpl w:val="4F56FEE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1"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2"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8B83A06"/>
    <w:multiLevelType w:val="hybridMultilevel"/>
    <w:tmpl w:val="946C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AC6151"/>
    <w:multiLevelType w:val="hybridMultilevel"/>
    <w:tmpl w:val="7C845B96"/>
    <w:lvl w:ilvl="0" w:tplc="1FD46178">
      <w:start w:val="1"/>
      <w:numFmt w:val="bullet"/>
      <w:lvlText w:val=""/>
      <w:lvlJc w:val="left"/>
      <w:pPr>
        <w:tabs>
          <w:tab w:val="num" w:pos="2880"/>
        </w:tabs>
        <w:ind w:left="288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15:restartNumberingAfterBreak="0">
    <w:nsid w:val="41464DF2"/>
    <w:multiLevelType w:val="hybridMultilevel"/>
    <w:tmpl w:val="164600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37A60BA"/>
    <w:multiLevelType w:val="hybridMultilevel"/>
    <w:tmpl w:val="C4F47F86"/>
    <w:lvl w:ilvl="0" w:tplc="A30C7BAA">
      <w:start w:val="1"/>
      <w:numFmt w:val="none"/>
      <w:pStyle w:val="Note"/>
      <w:lvlText w:val="NOTE:"/>
      <w:lvlJc w:val="left"/>
      <w:pPr>
        <w:tabs>
          <w:tab w:val="num" w:pos="1098"/>
        </w:tabs>
        <w:ind w:left="1026" w:hanging="936"/>
      </w:pPr>
      <w:rPr>
        <w:rFonts w:ascii="Times New Roman" w:hAnsi="Times New Roman" w:cs="Times New Roman" w:hint="default"/>
        <w:b/>
        <w:i/>
        <w:sz w:val="22"/>
        <w:szCs w:val="22"/>
      </w:rPr>
    </w:lvl>
    <w:lvl w:ilvl="1" w:tplc="D17CFAC2">
      <w:start w:val="1"/>
      <w:numFmt w:val="lowerLetter"/>
      <w:lvlText w:val="%2."/>
      <w:lvlJc w:val="left"/>
      <w:pPr>
        <w:tabs>
          <w:tab w:val="num" w:pos="1440"/>
        </w:tabs>
        <w:ind w:left="1440" w:hanging="360"/>
      </w:pPr>
    </w:lvl>
    <w:lvl w:ilvl="2" w:tplc="69880946" w:tentative="1">
      <w:start w:val="1"/>
      <w:numFmt w:val="lowerRoman"/>
      <w:lvlText w:val="%3."/>
      <w:lvlJc w:val="right"/>
      <w:pPr>
        <w:tabs>
          <w:tab w:val="num" w:pos="2160"/>
        </w:tabs>
        <w:ind w:left="2160" w:hanging="180"/>
      </w:pPr>
    </w:lvl>
    <w:lvl w:ilvl="3" w:tplc="26C81EB2" w:tentative="1">
      <w:start w:val="1"/>
      <w:numFmt w:val="decimal"/>
      <w:lvlText w:val="%4."/>
      <w:lvlJc w:val="left"/>
      <w:pPr>
        <w:tabs>
          <w:tab w:val="num" w:pos="2880"/>
        </w:tabs>
        <w:ind w:left="2880" w:hanging="360"/>
      </w:pPr>
    </w:lvl>
    <w:lvl w:ilvl="4" w:tplc="1BC8129A" w:tentative="1">
      <w:start w:val="1"/>
      <w:numFmt w:val="lowerLetter"/>
      <w:lvlText w:val="%5."/>
      <w:lvlJc w:val="left"/>
      <w:pPr>
        <w:tabs>
          <w:tab w:val="num" w:pos="3600"/>
        </w:tabs>
        <w:ind w:left="3600" w:hanging="360"/>
      </w:pPr>
    </w:lvl>
    <w:lvl w:ilvl="5" w:tplc="01848BBA" w:tentative="1">
      <w:start w:val="1"/>
      <w:numFmt w:val="lowerRoman"/>
      <w:lvlText w:val="%6."/>
      <w:lvlJc w:val="right"/>
      <w:pPr>
        <w:tabs>
          <w:tab w:val="num" w:pos="4320"/>
        </w:tabs>
        <w:ind w:left="4320" w:hanging="180"/>
      </w:pPr>
    </w:lvl>
    <w:lvl w:ilvl="6" w:tplc="D5E40A6A" w:tentative="1">
      <w:start w:val="1"/>
      <w:numFmt w:val="decimal"/>
      <w:lvlText w:val="%7."/>
      <w:lvlJc w:val="left"/>
      <w:pPr>
        <w:tabs>
          <w:tab w:val="num" w:pos="5040"/>
        </w:tabs>
        <w:ind w:left="5040" w:hanging="360"/>
      </w:pPr>
    </w:lvl>
    <w:lvl w:ilvl="7" w:tplc="F7729344" w:tentative="1">
      <w:start w:val="1"/>
      <w:numFmt w:val="lowerLetter"/>
      <w:lvlText w:val="%8."/>
      <w:lvlJc w:val="left"/>
      <w:pPr>
        <w:tabs>
          <w:tab w:val="num" w:pos="5760"/>
        </w:tabs>
        <w:ind w:left="5760" w:hanging="360"/>
      </w:pPr>
    </w:lvl>
    <w:lvl w:ilvl="8" w:tplc="FD728B96" w:tentative="1">
      <w:start w:val="1"/>
      <w:numFmt w:val="lowerRoman"/>
      <w:lvlText w:val="%9."/>
      <w:lvlJc w:val="right"/>
      <w:pPr>
        <w:tabs>
          <w:tab w:val="num" w:pos="6480"/>
        </w:tabs>
        <w:ind w:left="6480" w:hanging="180"/>
      </w:pPr>
    </w:lvl>
  </w:abstractNum>
  <w:abstractNum w:abstractNumId="28" w15:restartNumberingAfterBreak="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066CB5"/>
    <w:multiLevelType w:val="hybridMultilevel"/>
    <w:tmpl w:val="2DA0C9E2"/>
    <w:lvl w:ilvl="0" w:tplc="92A65D4A">
      <w:start w:val="1"/>
      <w:numFmt w:val="bullet"/>
      <w:pStyle w:val="InstructionalBullet2"/>
      <w:lvlText w:val="o"/>
      <w:lvlJc w:val="left"/>
      <w:pPr>
        <w:tabs>
          <w:tab w:val="num" w:pos="720"/>
        </w:tabs>
        <w:ind w:left="720" w:hanging="360"/>
      </w:pPr>
      <w:rPr>
        <w:rFonts w:ascii="Courier New" w:hAnsi="Courier New" w:cs="Courier New"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1" w15:restartNumberingAfterBreak="0">
    <w:nsid w:val="4DDF23A1"/>
    <w:multiLevelType w:val="hybridMultilevel"/>
    <w:tmpl w:val="437A147E"/>
    <w:lvl w:ilvl="0" w:tplc="04090003">
      <w:start w:val="1"/>
      <w:numFmt w:val="bullet"/>
      <w:lvlText w:val="o"/>
      <w:lvlJc w:val="left"/>
      <w:pPr>
        <w:tabs>
          <w:tab w:val="num" w:pos="1080"/>
        </w:tabs>
        <w:ind w:left="1080" w:hanging="360"/>
      </w:pPr>
      <w:rPr>
        <w:rFonts w:ascii="Courier New" w:hAnsi="Courier New" w:cs="Courier New" w:hint="default"/>
      </w:rPr>
    </w:lvl>
    <w:lvl w:ilvl="1" w:tplc="98905A2C">
      <w:start w:val="1"/>
      <w:numFmt w:val="bullet"/>
      <w:lvlText w:val="o"/>
      <w:lvlJc w:val="left"/>
      <w:pPr>
        <w:tabs>
          <w:tab w:val="num" w:pos="1800"/>
        </w:tabs>
        <w:ind w:left="1800" w:hanging="360"/>
      </w:pPr>
      <w:rPr>
        <w:rFonts w:ascii="Courier New" w:hAnsi="Courier New" w:cs="Courier New" w:hint="default"/>
      </w:rPr>
    </w:lvl>
    <w:lvl w:ilvl="2" w:tplc="BBECEF1A" w:tentative="1">
      <w:start w:val="1"/>
      <w:numFmt w:val="bullet"/>
      <w:lvlText w:val=""/>
      <w:lvlJc w:val="left"/>
      <w:pPr>
        <w:tabs>
          <w:tab w:val="num" w:pos="2520"/>
        </w:tabs>
        <w:ind w:left="2520" w:hanging="360"/>
      </w:pPr>
      <w:rPr>
        <w:rFonts w:ascii="Wingdings" w:hAnsi="Wingdings" w:hint="default"/>
      </w:rPr>
    </w:lvl>
    <w:lvl w:ilvl="3" w:tplc="6D722AB8" w:tentative="1">
      <w:start w:val="1"/>
      <w:numFmt w:val="bullet"/>
      <w:lvlText w:val=""/>
      <w:lvlJc w:val="left"/>
      <w:pPr>
        <w:tabs>
          <w:tab w:val="num" w:pos="3240"/>
        </w:tabs>
        <w:ind w:left="3240" w:hanging="360"/>
      </w:pPr>
      <w:rPr>
        <w:rFonts w:ascii="Symbol" w:hAnsi="Symbol" w:hint="default"/>
      </w:rPr>
    </w:lvl>
    <w:lvl w:ilvl="4" w:tplc="2348F26E" w:tentative="1">
      <w:start w:val="1"/>
      <w:numFmt w:val="bullet"/>
      <w:lvlText w:val="o"/>
      <w:lvlJc w:val="left"/>
      <w:pPr>
        <w:tabs>
          <w:tab w:val="num" w:pos="3960"/>
        </w:tabs>
        <w:ind w:left="3960" w:hanging="360"/>
      </w:pPr>
      <w:rPr>
        <w:rFonts w:ascii="Courier New" w:hAnsi="Courier New" w:cs="Courier New" w:hint="default"/>
      </w:rPr>
    </w:lvl>
    <w:lvl w:ilvl="5" w:tplc="30384AFE" w:tentative="1">
      <w:start w:val="1"/>
      <w:numFmt w:val="bullet"/>
      <w:lvlText w:val=""/>
      <w:lvlJc w:val="left"/>
      <w:pPr>
        <w:tabs>
          <w:tab w:val="num" w:pos="4680"/>
        </w:tabs>
        <w:ind w:left="4680" w:hanging="360"/>
      </w:pPr>
      <w:rPr>
        <w:rFonts w:ascii="Wingdings" w:hAnsi="Wingdings" w:hint="default"/>
      </w:rPr>
    </w:lvl>
    <w:lvl w:ilvl="6" w:tplc="89145B58" w:tentative="1">
      <w:start w:val="1"/>
      <w:numFmt w:val="bullet"/>
      <w:lvlText w:val=""/>
      <w:lvlJc w:val="left"/>
      <w:pPr>
        <w:tabs>
          <w:tab w:val="num" w:pos="5400"/>
        </w:tabs>
        <w:ind w:left="5400" w:hanging="360"/>
      </w:pPr>
      <w:rPr>
        <w:rFonts w:ascii="Symbol" w:hAnsi="Symbol" w:hint="default"/>
      </w:rPr>
    </w:lvl>
    <w:lvl w:ilvl="7" w:tplc="A9B64C86" w:tentative="1">
      <w:start w:val="1"/>
      <w:numFmt w:val="bullet"/>
      <w:lvlText w:val="o"/>
      <w:lvlJc w:val="left"/>
      <w:pPr>
        <w:tabs>
          <w:tab w:val="num" w:pos="6120"/>
        </w:tabs>
        <w:ind w:left="6120" w:hanging="360"/>
      </w:pPr>
      <w:rPr>
        <w:rFonts w:ascii="Courier New" w:hAnsi="Courier New" w:cs="Courier New" w:hint="default"/>
      </w:rPr>
    </w:lvl>
    <w:lvl w:ilvl="8" w:tplc="2580E196"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7D138F9"/>
    <w:multiLevelType w:val="hybridMultilevel"/>
    <w:tmpl w:val="C738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5" w15:restartNumberingAfterBreak="0">
    <w:nsid w:val="641A0121"/>
    <w:multiLevelType w:val="hybridMultilevel"/>
    <w:tmpl w:val="EEF86930"/>
    <w:lvl w:ilvl="0" w:tplc="3E72178A">
      <w:start w:val="4"/>
      <w:numFmt w:val="bullet"/>
      <w:lvlText w:val="−"/>
      <w:lvlJc w:val="left"/>
      <w:pPr>
        <w:ind w:left="1080" w:hanging="360"/>
      </w:pPr>
      <w:rPr>
        <w:rFonts w:ascii="Courier New" w:eastAsia="Times New Roman"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7C71C00"/>
    <w:multiLevelType w:val="multilevel"/>
    <w:tmpl w:val="E9F4C15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8" w15:restartNumberingAfterBreak="0">
    <w:nsid w:val="6F182A87"/>
    <w:multiLevelType w:val="hybridMultilevel"/>
    <w:tmpl w:val="E592903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0" w15:restartNumberingAfterBreak="0">
    <w:nsid w:val="75871415"/>
    <w:multiLevelType w:val="hybridMultilevel"/>
    <w:tmpl w:val="3CD64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7"/>
  </w:num>
  <w:num w:numId="3">
    <w:abstractNumId w:val="11"/>
  </w:num>
  <w:num w:numId="4">
    <w:abstractNumId w:val="39"/>
  </w:num>
  <w:num w:numId="5">
    <w:abstractNumId w:val="41"/>
  </w:num>
  <w:num w:numId="6">
    <w:abstractNumId w:val="33"/>
  </w:num>
  <w:num w:numId="7">
    <w:abstractNumId w:val="21"/>
  </w:num>
  <w:num w:numId="8">
    <w:abstractNumId w:val="14"/>
  </w:num>
  <w:num w:numId="9">
    <w:abstractNumId w:val="23"/>
  </w:num>
  <w:num w:numId="10">
    <w:abstractNumId w:val="30"/>
  </w:num>
  <w:num w:numId="11">
    <w:abstractNumId w:val="22"/>
  </w:num>
  <w:num w:numId="12">
    <w:abstractNumId w:val="34"/>
  </w:num>
  <w:num w:numId="13">
    <w:abstractNumId w:val="8"/>
  </w:num>
  <w:num w:numId="14">
    <w:abstractNumId w:val="27"/>
  </w:num>
  <w:num w:numId="15">
    <w:abstractNumId w:val="36"/>
  </w:num>
  <w:num w:numId="16">
    <w:abstractNumId w:val="25"/>
  </w:num>
  <w:num w:numId="17">
    <w:abstractNumId w:val="19"/>
  </w:num>
  <w:num w:numId="18">
    <w:abstractNumId w:val="35"/>
  </w:num>
  <w:num w:numId="19">
    <w:abstractNumId w:val="12"/>
  </w:num>
  <w:num w:numId="20">
    <w:abstractNumId w:val="20"/>
  </w:num>
  <w:num w:numId="21">
    <w:abstractNumId w:val="6"/>
  </w:num>
  <w:num w:numId="22">
    <w:abstractNumId w:val="5"/>
  </w:num>
  <w:num w:numId="23">
    <w:abstractNumId w:val="4"/>
  </w:num>
  <w:num w:numId="24">
    <w:abstractNumId w:val="7"/>
  </w:num>
  <w:num w:numId="25">
    <w:abstractNumId w:val="3"/>
  </w:num>
  <w:num w:numId="26">
    <w:abstractNumId w:val="2"/>
  </w:num>
  <w:num w:numId="27">
    <w:abstractNumId w:val="1"/>
  </w:num>
  <w:num w:numId="28">
    <w:abstractNumId w:val="0"/>
  </w:num>
  <w:num w:numId="29">
    <w:abstractNumId w:val="17"/>
  </w:num>
  <w:num w:numId="30">
    <w:abstractNumId w:val="15"/>
  </w:num>
  <w:num w:numId="31">
    <w:abstractNumId w:val="10"/>
  </w:num>
  <w:num w:numId="32">
    <w:abstractNumId w:val="31"/>
  </w:num>
  <w:num w:numId="33">
    <w:abstractNumId w:val="29"/>
  </w:num>
  <w:num w:numId="34">
    <w:abstractNumId w:val="28"/>
  </w:num>
  <w:num w:numId="35">
    <w:abstractNumId w:val="24"/>
  </w:num>
  <w:num w:numId="36">
    <w:abstractNumId w:val="9"/>
  </w:num>
  <w:num w:numId="37">
    <w:abstractNumId w:val="13"/>
  </w:num>
  <w:num w:numId="38">
    <w:abstractNumId w:val="18"/>
  </w:num>
  <w:num w:numId="39">
    <w:abstractNumId w:val="40"/>
  </w:num>
  <w:num w:numId="40">
    <w:abstractNumId w:val="16"/>
  </w:num>
  <w:num w:numId="41">
    <w:abstractNumId w:val="32"/>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num>
  <w:num w:numId="44">
    <w:abstractNumId w:val="38"/>
    <w:lvlOverride w:ilvl="0">
      <w:startOverride w:val="1"/>
    </w:lvlOverride>
  </w:num>
  <w:num w:numId="45">
    <w:abstractNumId w:val="38"/>
  </w:num>
  <w:num w:numId="46">
    <w:abstractNumId w:val="38"/>
    <w:lvlOverride w:ilvl="0">
      <w:startOverride w:val="1"/>
    </w:lvlOverride>
  </w:num>
  <w:num w:numId="47">
    <w:abstractNumId w:val="38"/>
    <w:lvlOverride w:ilvl="0">
      <w:startOverride w:val="1"/>
    </w:lvlOverride>
  </w:num>
  <w:num w:numId="48">
    <w:abstractNumId w:val="38"/>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US" w:vendorID="64" w:dllVersion="0" w:nlCheck="1" w:checkStyle="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493"/>
    <w:rsid w:val="0000015A"/>
    <w:rsid w:val="00000799"/>
    <w:rsid w:val="00004FFF"/>
    <w:rsid w:val="000063A7"/>
    <w:rsid w:val="0000671E"/>
    <w:rsid w:val="0000675B"/>
    <w:rsid w:val="00006DB8"/>
    <w:rsid w:val="00010140"/>
    <w:rsid w:val="000114B6"/>
    <w:rsid w:val="00011EE6"/>
    <w:rsid w:val="0001226E"/>
    <w:rsid w:val="000151E8"/>
    <w:rsid w:val="00016E3E"/>
    <w:rsid w:val="00016E93"/>
    <w:rsid w:val="000171DA"/>
    <w:rsid w:val="00017CEA"/>
    <w:rsid w:val="0002546B"/>
    <w:rsid w:val="000263BB"/>
    <w:rsid w:val="000272A4"/>
    <w:rsid w:val="0002768B"/>
    <w:rsid w:val="00033159"/>
    <w:rsid w:val="0003411F"/>
    <w:rsid w:val="0003584A"/>
    <w:rsid w:val="00040EA7"/>
    <w:rsid w:val="00043778"/>
    <w:rsid w:val="00045726"/>
    <w:rsid w:val="0004636C"/>
    <w:rsid w:val="000466AA"/>
    <w:rsid w:val="0005076D"/>
    <w:rsid w:val="00051533"/>
    <w:rsid w:val="00057218"/>
    <w:rsid w:val="000604DF"/>
    <w:rsid w:val="00061162"/>
    <w:rsid w:val="00065D98"/>
    <w:rsid w:val="0006686A"/>
    <w:rsid w:val="00066870"/>
    <w:rsid w:val="00071609"/>
    <w:rsid w:val="000769D2"/>
    <w:rsid w:val="00080748"/>
    <w:rsid w:val="000821C5"/>
    <w:rsid w:val="00083728"/>
    <w:rsid w:val="00086D68"/>
    <w:rsid w:val="000875F5"/>
    <w:rsid w:val="00090AB4"/>
    <w:rsid w:val="00095D46"/>
    <w:rsid w:val="000971FB"/>
    <w:rsid w:val="000A0911"/>
    <w:rsid w:val="000A56B4"/>
    <w:rsid w:val="000A5D15"/>
    <w:rsid w:val="000B23F8"/>
    <w:rsid w:val="000C751C"/>
    <w:rsid w:val="000D02F6"/>
    <w:rsid w:val="000D30B8"/>
    <w:rsid w:val="000D3407"/>
    <w:rsid w:val="000D6754"/>
    <w:rsid w:val="000E2E25"/>
    <w:rsid w:val="000E48E1"/>
    <w:rsid w:val="000E5F80"/>
    <w:rsid w:val="000E69FA"/>
    <w:rsid w:val="000F2008"/>
    <w:rsid w:val="000F204E"/>
    <w:rsid w:val="000F2E65"/>
    <w:rsid w:val="000F3438"/>
    <w:rsid w:val="000F3D69"/>
    <w:rsid w:val="000F7262"/>
    <w:rsid w:val="000F7BCA"/>
    <w:rsid w:val="000F7F42"/>
    <w:rsid w:val="00101B1F"/>
    <w:rsid w:val="0010320F"/>
    <w:rsid w:val="00103D04"/>
    <w:rsid w:val="00104399"/>
    <w:rsid w:val="001053D5"/>
    <w:rsid w:val="0010664C"/>
    <w:rsid w:val="00107971"/>
    <w:rsid w:val="001111DA"/>
    <w:rsid w:val="00114BEF"/>
    <w:rsid w:val="0012060D"/>
    <w:rsid w:val="001272F9"/>
    <w:rsid w:val="00130F76"/>
    <w:rsid w:val="0013246A"/>
    <w:rsid w:val="00132F20"/>
    <w:rsid w:val="00134195"/>
    <w:rsid w:val="0014217F"/>
    <w:rsid w:val="001449FD"/>
    <w:rsid w:val="00144B97"/>
    <w:rsid w:val="001459C3"/>
    <w:rsid w:val="00145AE1"/>
    <w:rsid w:val="00151087"/>
    <w:rsid w:val="00151B46"/>
    <w:rsid w:val="0015557A"/>
    <w:rsid w:val="001572AD"/>
    <w:rsid w:val="001574A4"/>
    <w:rsid w:val="00160824"/>
    <w:rsid w:val="00161ED8"/>
    <w:rsid w:val="001624C3"/>
    <w:rsid w:val="00165AB8"/>
    <w:rsid w:val="00172699"/>
    <w:rsid w:val="00172D7F"/>
    <w:rsid w:val="00180235"/>
    <w:rsid w:val="00180457"/>
    <w:rsid w:val="00186009"/>
    <w:rsid w:val="00186BC6"/>
    <w:rsid w:val="00190703"/>
    <w:rsid w:val="00191D2A"/>
    <w:rsid w:val="00192051"/>
    <w:rsid w:val="0019425A"/>
    <w:rsid w:val="00197803"/>
    <w:rsid w:val="001A01F5"/>
    <w:rsid w:val="001A1153"/>
    <w:rsid w:val="001A3C5C"/>
    <w:rsid w:val="001A483C"/>
    <w:rsid w:val="001A7088"/>
    <w:rsid w:val="001B2D09"/>
    <w:rsid w:val="001B4BDB"/>
    <w:rsid w:val="001B60C1"/>
    <w:rsid w:val="001B6996"/>
    <w:rsid w:val="001C677D"/>
    <w:rsid w:val="001C6D26"/>
    <w:rsid w:val="001D3222"/>
    <w:rsid w:val="001D3478"/>
    <w:rsid w:val="001D6650"/>
    <w:rsid w:val="001E2653"/>
    <w:rsid w:val="001E4B39"/>
    <w:rsid w:val="001E5796"/>
    <w:rsid w:val="001E632B"/>
    <w:rsid w:val="001E6605"/>
    <w:rsid w:val="001E6C98"/>
    <w:rsid w:val="001E7825"/>
    <w:rsid w:val="001E7CFE"/>
    <w:rsid w:val="001F383E"/>
    <w:rsid w:val="00202E31"/>
    <w:rsid w:val="00217034"/>
    <w:rsid w:val="00220648"/>
    <w:rsid w:val="00221043"/>
    <w:rsid w:val="002216E5"/>
    <w:rsid w:val="002243EB"/>
    <w:rsid w:val="002273CA"/>
    <w:rsid w:val="00227679"/>
    <w:rsid w:val="002310D3"/>
    <w:rsid w:val="00234111"/>
    <w:rsid w:val="0024186D"/>
    <w:rsid w:val="00242944"/>
    <w:rsid w:val="00247A8B"/>
    <w:rsid w:val="00252BD5"/>
    <w:rsid w:val="00256419"/>
    <w:rsid w:val="00256F04"/>
    <w:rsid w:val="00262887"/>
    <w:rsid w:val="00266D60"/>
    <w:rsid w:val="00280A53"/>
    <w:rsid w:val="00282DF1"/>
    <w:rsid w:val="00282EDE"/>
    <w:rsid w:val="00283FB2"/>
    <w:rsid w:val="002855B2"/>
    <w:rsid w:val="00287B93"/>
    <w:rsid w:val="00292B10"/>
    <w:rsid w:val="002968F8"/>
    <w:rsid w:val="002972A0"/>
    <w:rsid w:val="002A0C8C"/>
    <w:rsid w:val="002A2AD1"/>
    <w:rsid w:val="002A2EE5"/>
    <w:rsid w:val="002A4347"/>
    <w:rsid w:val="002A4907"/>
    <w:rsid w:val="002B0049"/>
    <w:rsid w:val="002B0B64"/>
    <w:rsid w:val="002B3527"/>
    <w:rsid w:val="002C0082"/>
    <w:rsid w:val="002C304D"/>
    <w:rsid w:val="002C3200"/>
    <w:rsid w:val="002C43F4"/>
    <w:rsid w:val="002C6335"/>
    <w:rsid w:val="002D0C49"/>
    <w:rsid w:val="002D1B52"/>
    <w:rsid w:val="002D5204"/>
    <w:rsid w:val="002E1D8C"/>
    <w:rsid w:val="002E751D"/>
    <w:rsid w:val="002E778F"/>
    <w:rsid w:val="002F0076"/>
    <w:rsid w:val="002F21F1"/>
    <w:rsid w:val="002F333C"/>
    <w:rsid w:val="002F5410"/>
    <w:rsid w:val="002F6814"/>
    <w:rsid w:val="00310941"/>
    <w:rsid w:val="003110DB"/>
    <w:rsid w:val="00311925"/>
    <w:rsid w:val="00312A4C"/>
    <w:rsid w:val="00314B90"/>
    <w:rsid w:val="00315667"/>
    <w:rsid w:val="003220D5"/>
    <w:rsid w:val="0032241E"/>
    <w:rsid w:val="003224BE"/>
    <w:rsid w:val="0032253D"/>
    <w:rsid w:val="00326966"/>
    <w:rsid w:val="00330411"/>
    <w:rsid w:val="00337100"/>
    <w:rsid w:val="00337769"/>
    <w:rsid w:val="003417C9"/>
    <w:rsid w:val="00342E0C"/>
    <w:rsid w:val="00346959"/>
    <w:rsid w:val="00353152"/>
    <w:rsid w:val="003565ED"/>
    <w:rsid w:val="00357285"/>
    <w:rsid w:val="00362487"/>
    <w:rsid w:val="00367E9C"/>
    <w:rsid w:val="00371334"/>
    <w:rsid w:val="0037170A"/>
    <w:rsid w:val="00371DB3"/>
    <w:rsid w:val="003732A1"/>
    <w:rsid w:val="00374844"/>
    <w:rsid w:val="00376DD4"/>
    <w:rsid w:val="003779B0"/>
    <w:rsid w:val="00387800"/>
    <w:rsid w:val="00392B05"/>
    <w:rsid w:val="003A00D7"/>
    <w:rsid w:val="003A10CC"/>
    <w:rsid w:val="003A2662"/>
    <w:rsid w:val="003A7704"/>
    <w:rsid w:val="003B25C1"/>
    <w:rsid w:val="003B266F"/>
    <w:rsid w:val="003B43A4"/>
    <w:rsid w:val="003B70C6"/>
    <w:rsid w:val="003C03DA"/>
    <w:rsid w:val="003C2662"/>
    <w:rsid w:val="003C30B0"/>
    <w:rsid w:val="003C3F23"/>
    <w:rsid w:val="003C475C"/>
    <w:rsid w:val="003C6D56"/>
    <w:rsid w:val="003C7B01"/>
    <w:rsid w:val="003D4F10"/>
    <w:rsid w:val="003D4FEB"/>
    <w:rsid w:val="003D59EF"/>
    <w:rsid w:val="003D6C58"/>
    <w:rsid w:val="003D7EA1"/>
    <w:rsid w:val="003E02D6"/>
    <w:rsid w:val="003E0818"/>
    <w:rsid w:val="003E1F9E"/>
    <w:rsid w:val="003E2927"/>
    <w:rsid w:val="003E5E7F"/>
    <w:rsid w:val="003E6EFF"/>
    <w:rsid w:val="003F05CC"/>
    <w:rsid w:val="003F30DB"/>
    <w:rsid w:val="003F43B3"/>
    <w:rsid w:val="003F4789"/>
    <w:rsid w:val="00403209"/>
    <w:rsid w:val="004047F3"/>
    <w:rsid w:val="004105A6"/>
    <w:rsid w:val="00413B23"/>
    <w:rsid w:val="004145D9"/>
    <w:rsid w:val="004168E3"/>
    <w:rsid w:val="004209B0"/>
    <w:rsid w:val="00421C89"/>
    <w:rsid w:val="00423003"/>
    <w:rsid w:val="0042362C"/>
    <w:rsid w:val="00423A58"/>
    <w:rsid w:val="00433816"/>
    <w:rsid w:val="00437208"/>
    <w:rsid w:val="00437714"/>
    <w:rsid w:val="004402B7"/>
    <w:rsid w:val="00440A78"/>
    <w:rsid w:val="004428E7"/>
    <w:rsid w:val="00450320"/>
    <w:rsid w:val="004508EB"/>
    <w:rsid w:val="00450BD2"/>
    <w:rsid w:val="00451181"/>
    <w:rsid w:val="00452DB6"/>
    <w:rsid w:val="00454C75"/>
    <w:rsid w:val="00455233"/>
    <w:rsid w:val="00457EB6"/>
    <w:rsid w:val="00464730"/>
    <w:rsid w:val="00465102"/>
    <w:rsid w:val="00465DE6"/>
    <w:rsid w:val="00467F6F"/>
    <w:rsid w:val="00471637"/>
    <w:rsid w:val="00473AD4"/>
    <w:rsid w:val="00474BBC"/>
    <w:rsid w:val="0047675C"/>
    <w:rsid w:val="0048016C"/>
    <w:rsid w:val="0048455F"/>
    <w:rsid w:val="00484D4D"/>
    <w:rsid w:val="004930B0"/>
    <w:rsid w:val="00496CD6"/>
    <w:rsid w:val="004A0D2F"/>
    <w:rsid w:val="004A1305"/>
    <w:rsid w:val="004A28E1"/>
    <w:rsid w:val="004B0F62"/>
    <w:rsid w:val="004B64EC"/>
    <w:rsid w:val="004B7FD5"/>
    <w:rsid w:val="004C1233"/>
    <w:rsid w:val="004C26BE"/>
    <w:rsid w:val="004C33A4"/>
    <w:rsid w:val="004C5CB1"/>
    <w:rsid w:val="004C756F"/>
    <w:rsid w:val="004D0A93"/>
    <w:rsid w:val="004D0FD2"/>
    <w:rsid w:val="004D2A64"/>
    <w:rsid w:val="004D3CB7"/>
    <w:rsid w:val="004D3FB6"/>
    <w:rsid w:val="004D4CCD"/>
    <w:rsid w:val="004D5CD2"/>
    <w:rsid w:val="004D7735"/>
    <w:rsid w:val="004E1922"/>
    <w:rsid w:val="004E4868"/>
    <w:rsid w:val="004F0FB3"/>
    <w:rsid w:val="004F226E"/>
    <w:rsid w:val="004F31E5"/>
    <w:rsid w:val="004F3A80"/>
    <w:rsid w:val="004F554D"/>
    <w:rsid w:val="004F7556"/>
    <w:rsid w:val="00502D1D"/>
    <w:rsid w:val="00504BC1"/>
    <w:rsid w:val="00505E19"/>
    <w:rsid w:val="00510914"/>
    <w:rsid w:val="00511119"/>
    <w:rsid w:val="00514C04"/>
    <w:rsid w:val="00515F2A"/>
    <w:rsid w:val="00522D9C"/>
    <w:rsid w:val="00527B5C"/>
    <w:rsid w:val="00530D34"/>
    <w:rsid w:val="00530EA0"/>
    <w:rsid w:val="00531CD9"/>
    <w:rsid w:val="005327F9"/>
    <w:rsid w:val="00532B92"/>
    <w:rsid w:val="00540E51"/>
    <w:rsid w:val="00541085"/>
    <w:rsid w:val="00543E06"/>
    <w:rsid w:val="00547953"/>
    <w:rsid w:val="00554B8F"/>
    <w:rsid w:val="00556C57"/>
    <w:rsid w:val="005577B5"/>
    <w:rsid w:val="00561683"/>
    <w:rsid w:val="005647C7"/>
    <w:rsid w:val="00565889"/>
    <w:rsid w:val="00566522"/>
    <w:rsid w:val="00566D6A"/>
    <w:rsid w:val="00567037"/>
    <w:rsid w:val="00575879"/>
    <w:rsid w:val="00575CFA"/>
    <w:rsid w:val="00576B88"/>
    <w:rsid w:val="00577B5B"/>
    <w:rsid w:val="00584F2F"/>
    <w:rsid w:val="00585881"/>
    <w:rsid w:val="005918CF"/>
    <w:rsid w:val="00591D18"/>
    <w:rsid w:val="00594383"/>
    <w:rsid w:val="00595BB6"/>
    <w:rsid w:val="005A10DA"/>
    <w:rsid w:val="005A1E0B"/>
    <w:rsid w:val="005A47F7"/>
    <w:rsid w:val="005A722B"/>
    <w:rsid w:val="005B2A4C"/>
    <w:rsid w:val="005B41A8"/>
    <w:rsid w:val="005B514D"/>
    <w:rsid w:val="005B5D2C"/>
    <w:rsid w:val="005B7CDD"/>
    <w:rsid w:val="005C7269"/>
    <w:rsid w:val="005D0E72"/>
    <w:rsid w:val="005D18C5"/>
    <w:rsid w:val="005D3B22"/>
    <w:rsid w:val="005D3FE8"/>
    <w:rsid w:val="005D6BF2"/>
    <w:rsid w:val="005E0541"/>
    <w:rsid w:val="005E2AF9"/>
    <w:rsid w:val="005E741C"/>
    <w:rsid w:val="005F2EE8"/>
    <w:rsid w:val="00600235"/>
    <w:rsid w:val="00601CBF"/>
    <w:rsid w:val="00601EBF"/>
    <w:rsid w:val="00617768"/>
    <w:rsid w:val="006244C7"/>
    <w:rsid w:val="006269B4"/>
    <w:rsid w:val="00626F88"/>
    <w:rsid w:val="006408CE"/>
    <w:rsid w:val="00642849"/>
    <w:rsid w:val="00642E7E"/>
    <w:rsid w:val="006447CD"/>
    <w:rsid w:val="0064678C"/>
    <w:rsid w:val="0064769E"/>
    <w:rsid w:val="0065443F"/>
    <w:rsid w:val="0065706C"/>
    <w:rsid w:val="00663B92"/>
    <w:rsid w:val="00665BF6"/>
    <w:rsid w:val="006670D2"/>
    <w:rsid w:val="00667E47"/>
    <w:rsid w:val="00672FD9"/>
    <w:rsid w:val="00673AE4"/>
    <w:rsid w:val="00673D46"/>
    <w:rsid w:val="00677451"/>
    <w:rsid w:val="006774F6"/>
    <w:rsid w:val="00680463"/>
    <w:rsid w:val="00680563"/>
    <w:rsid w:val="00680A03"/>
    <w:rsid w:val="00686A4B"/>
    <w:rsid w:val="00687EA8"/>
    <w:rsid w:val="00691431"/>
    <w:rsid w:val="006915CA"/>
    <w:rsid w:val="006A20A1"/>
    <w:rsid w:val="006A3574"/>
    <w:rsid w:val="006A7603"/>
    <w:rsid w:val="006A7DC4"/>
    <w:rsid w:val="006B1767"/>
    <w:rsid w:val="006B4B6B"/>
    <w:rsid w:val="006B5C9C"/>
    <w:rsid w:val="006C0A62"/>
    <w:rsid w:val="006C2210"/>
    <w:rsid w:val="006C4512"/>
    <w:rsid w:val="006C4A5D"/>
    <w:rsid w:val="006C74F4"/>
    <w:rsid w:val="006C7CC1"/>
    <w:rsid w:val="006D1126"/>
    <w:rsid w:val="006D19EF"/>
    <w:rsid w:val="006D4142"/>
    <w:rsid w:val="006D68DA"/>
    <w:rsid w:val="006E32E0"/>
    <w:rsid w:val="006E5523"/>
    <w:rsid w:val="006E6D3A"/>
    <w:rsid w:val="006E7CD9"/>
    <w:rsid w:val="006F6D65"/>
    <w:rsid w:val="00704B99"/>
    <w:rsid w:val="00706211"/>
    <w:rsid w:val="007138B7"/>
    <w:rsid w:val="00714730"/>
    <w:rsid w:val="00715F75"/>
    <w:rsid w:val="00717E8B"/>
    <w:rsid w:val="007238FF"/>
    <w:rsid w:val="007245CC"/>
    <w:rsid w:val="0072569B"/>
    <w:rsid w:val="00725C30"/>
    <w:rsid w:val="007300A8"/>
    <w:rsid w:val="0073078F"/>
    <w:rsid w:val="007316E5"/>
    <w:rsid w:val="0073470E"/>
    <w:rsid w:val="007356FC"/>
    <w:rsid w:val="00736B0D"/>
    <w:rsid w:val="00742D4B"/>
    <w:rsid w:val="00744F0F"/>
    <w:rsid w:val="007453EA"/>
    <w:rsid w:val="007527AE"/>
    <w:rsid w:val="007537E2"/>
    <w:rsid w:val="00753814"/>
    <w:rsid w:val="007559CE"/>
    <w:rsid w:val="00761EA6"/>
    <w:rsid w:val="00762B56"/>
    <w:rsid w:val="00763DBB"/>
    <w:rsid w:val="00764301"/>
    <w:rsid w:val="007654AB"/>
    <w:rsid w:val="00765E89"/>
    <w:rsid w:val="00766F0B"/>
    <w:rsid w:val="00771319"/>
    <w:rsid w:val="00771B1F"/>
    <w:rsid w:val="00774AF9"/>
    <w:rsid w:val="00775AB4"/>
    <w:rsid w:val="00780150"/>
    <w:rsid w:val="007809A2"/>
    <w:rsid w:val="00781144"/>
    <w:rsid w:val="007815DD"/>
    <w:rsid w:val="00784DEC"/>
    <w:rsid w:val="007864FA"/>
    <w:rsid w:val="00786671"/>
    <w:rsid w:val="00787429"/>
    <w:rsid w:val="0078769E"/>
    <w:rsid w:val="00787815"/>
    <w:rsid w:val="00791F1A"/>
    <w:rsid w:val="007926DE"/>
    <w:rsid w:val="00792ECF"/>
    <w:rsid w:val="0079475C"/>
    <w:rsid w:val="00794FA9"/>
    <w:rsid w:val="00796F08"/>
    <w:rsid w:val="007A1298"/>
    <w:rsid w:val="007A29EE"/>
    <w:rsid w:val="007A39CC"/>
    <w:rsid w:val="007A55BB"/>
    <w:rsid w:val="007A6331"/>
    <w:rsid w:val="007A76B6"/>
    <w:rsid w:val="007B1AEF"/>
    <w:rsid w:val="007B3D18"/>
    <w:rsid w:val="007B4E3C"/>
    <w:rsid w:val="007B5233"/>
    <w:rsid w:val="007B65D7"/>
    <w:rsid w:val="007C087F"/>
    <w:rsid w:val="007C2637"/>
    <w:rsid w:val="007D1D99"/>
    <w:rsid w:val="007D3A5D"/>
    <w:rsid w:val="007D6404"/>
    <w:rsid w:val="007D705F"/>
    <w:rsid w:val="007E05D4"/>
    <w:rsid w:val="007E07D5"/>
    <w:rsid w:val="007E110C"/>
    <w:rsid w:val="007E4370"/>
    <w:rsid w:val="007E458A"/>
    <w:rsid w:val="007E536E"/>
    <w:rsid w:val="007F08A9"/>
    <w:rsid w:val="007F4281"/>
    <w:rsid w:val="007F767C"/>
    <w:rsid w:val="008019DE"/>
    <w:rsid w:val="00801B32"/>
    <w:rsid w:val="0081116F"/>
    <w:rsid w:val="008122B4"/>
    <w:rsid w:val="008126B1"/>
    <w:rsid w:val="00814B8F"/>
    <w:rsid w:val="0081629A"/>
    <w:rsid w:val="00817918"/>
    <w:rsid w:val="00821FD9"/>
    <w:rsid w:val="00825350"/>
    <w:rsid w:val="008308C2"/>
    <w:rsid w:val="008400DE"/>
    <w:rsid w:val="00845BB9"/>
    <w:rsid w:val="00851812"/>
    <w:rsid w:val="00853EDD"/>
    <w:rsid w:val="0085438A"/>
    <w:rsid w:val="00854CF7"/>
    <w:rsid w:val="00856A08"/>
    <w:rsid w:val="00863B21"/>
    <w:rsid w:val="00871E3C"/>
    <w:rsid w:val="008741AB"/>
    <w:rsid w:val="008748E2"/>
    <w:rsid w:val="00876A13"/>
    <w:rsid w:val="008770C4"/>
    <w:rsid w:val="00880BB0"/>
    <w:rsid w:val="00880C3D"/>
    <w:rsid w:val="008831EB"/>
    <w:rsid w:val="008871FC"/>
    <w:rsid w:val="00887D77"/>
    <w:rsid w:val="00895ADE"/>
    <w:rsid w:val="008A1731"/>
    <w:rsid w:val="008A4AE4"/>
    <w:rsid w:val="008A5DB7"/>
    <w:rsid w:val="008A783A"/>
    <w:rsid w:val="008B146D"/>
    <w:rsid w:val="008B14CB"/>
    <w:rsid w:val="008B3E7B"/>
    <w:rsid w:val="008B5103"/>
    <w:rsid w:val="008B6315"/>
    <w:rsid w:val="008C4576"/>
    <w:rsid w:val="008C652C"/>
    <w:rsid w:val="008C7A21"/>
    <w:rsid w:val="008D191D"/>
    <w:rsid w:val="008D2AAA"/>
    <w:rsid w:val="008E3951"/>
    <w:rsid w:val="008E3EF4"/>
    <w:rsid w:val="008E4C04"/>
    <w:rsid w:val="008E661A"/>
    <w:rsid w:val="008F08CD"/>
    <w:rsid w:val="008F298E"/>
    <w:rsid w:val="008F43AA"/>
    <w:rsid w:val="009011D4"/>
    <w:rsid w:val="00901D12"/>
    <w:rsid w:val="00903202"/>
    <w:rsid w:val="00905089"/>
    <w:rsid w:val="00905BD7"/>
    <w:rsid w:val="00906711"/>
    <w:rsid w:val="009071B9"/>
    <w:rsid w:val="0091258B"/>
    <w:rsid w:val="00914292"/>
    <w:rsid w:val="00922004"/>
    <w:rsid w:val="00922099"/>
    <w:rsid w:val="0093434C"/>
    <w:rsid w:val="009355C5"/>
    <w:rsid w:val="009376E8"/>
    <w:rsid w:val="009428C7"/>
    <w:rsid w:val="009453C1"/>
    <w:rsid w:val="00946652"/>
    <w:rsid w:val="00947AE3"/>
    <w:rsid w:val="00950E47"/>
    <w:rsid w:val="0095133D"/>
    <w:rsid w:val="00951F22"/>
    <w:rsid w:val="00961FED"/>
    <w:rsid w:val="00963076"/>
    <w:rsid w:val="00967C1C"/>
    <w:rsid w:val="009720D0"/>
    <w:rsid w:val="0097488C"/>
    <w:rsid w:val="009763BD"/>
    <w:rsid w:val="009800B5"/>
    <w:rsid w:val="009812B1"/>
    <w:rsid w:val="0098407A"/>
    <w:rsid w:val="00984DA0"/>
    <w:rsid w:val="009910F2"/>
    <w:rsid w:val="00991613"/>
    <w:rsid w:val="009921F2"/>
    <w:rsid w:val="00996E0A"/>
    <w:rsid w:val="009A0140"/>
    <w:rsid w:val="009A09A6"/>
    <w:rsid w:val="009A0AEB"/>
    <w:rsid w:val="009A54A4"/>
    <w:rsid w:val="009B1957"/>
    <w:rsid w:val="009B3CD1"/>
    <w:rsid w:val="009B6140"/>
    <w:rsid w:val="009C4236"/>
    <w:rsid w:val="009C4C5F"/>
    <w:rsid w:val="009C53F3"/>
    <w:rsid w:val="009C7882"/>
    <w:rsid w:val="009D368C"/>
    <w:rsid w:val="009D4125"/>
    <w:rsid w:val="009E1761"/>
    <w:rsid w:val="009E369B"/>
    <w:rsid w:val="009E67B2"/>
    <w:rsid w:val="009F3B25"/>
    <w:rsid w:val="009F5E75"/>
    <w:rsid w:val="009F77D2"/>
    <w:rsid w:val="00A00AA8"/>
    <w:rsid w:val="00A01D37"/>
    <w:rsid w:val="00A04018"/>
    <w:rsid w:val="00A0550C"/>
    <w:rsid w:val="00A05CA6"/>
    <w:rsid w:val="00A073A2"/>
    <w:rsid w:val="00A136DC"/>
    <w:rsid w:val="00A13FBB"/>
    <w:rsid w:val="00A149C0"/>
    <w:rsid w:val="00A24CF9"/>
    <w:rsid w:val="00A267E0"/>
    <w:rsid w:val="00A31E63"/>
    <w:rsid w:val="00A32FE9"/>
    <w:rsid w:val="00A34941"/>
    <w:rsid w:val="00A4035B"/>
    <w:rsid w:val="00A407AA"/>
    <w:rsid w:val="00A43AA1"/>
    <w:rsid w:val="00A442AD"/>
    <w:rsid w:val="00A52D5B"/>
    <w:rsid w:val="00A552FB"/>
    <w:rsid w:val="00A63D6C"/>
    <w:rsid w:val="00A712CB"/>
    <w:rsid w:val="00A7198C"/>
    <w:rsid w:val="00A721EC"/>
    <w:rsid w:val="00A73816"/>
    <w:rsid w:val="00A753C8"/>
    <w:rsid w:val="00A80829"/>
    <w:rsid w:val="00A81560"/>
    <w:rsid w:val="00A829EA"/>
    <w:rsid w:val="00A82C7A"/>
    <w:rsid w:val="00A83D56"/>
    <w:rsid w:val="00A83EB5"/>
    <w:rsid w:val="00A962F0"/>
    <w:rsid w:val="00AA0F64"/>
    <w:rsid w:val="00AA337E"/>
    <w:rsid w:val="00AA618B"/>
    <w:rsid w:val="00AA6982"/>
    <w:rsid w:val="00AA7363"/>
    <w:rsid w:val="00AA793C"/>
    <w:rsid w:val="00AB0117"/>
    <w:rsid w:val="00AB177C"/>
    <w:rsid w:val="00AB2C7C"/>
    <w:rsid w:val="00AC269C"/>
    <w:rsid w:val="00AC2AE6"/>
    <w:rsid w:val="00AD074D"/>
    <w:rsid w:val="00AD11AB"/>
    <w:rsid w:val="00AD2556"/>
    <w:rsid w:val="00AD494A"/>
    <w:rsid w:val="00AD50AE"/>
    <w:rsid w:val="00AE0630"/>
    <w:rsid w:val="00AE41FA"/>
    <w:rsid w:val="00AE51CB"/>
    <w:rsid w:val="00AE7786"/>
    <w:rsid w:val="00AF0332"/>
    <w:rsid w:val="00AF1CE5"/>
    <w:rsid w:val="00AF1D4B"/>
    <w:rsid w:val="00AF505A"/>
    <w:rsid w:val="00AF6C56"/>
    <w:rsid w:val="00AF7BC2"/>
    <w:rsid w:val="00B03BF3"/>
    <w:rsid w:val="00B04771"/>
    <w:rsid w:val="00B04DEB"/>
    <w:rsid w:val="00B07479"/>
    <w:rsid w:val="00B140A4"/>
    <w:rsid w:val="00B254C3"/>
    <w:rsid w:val="00B3350D"/>
    <w:rsid w:val="00B34271"/>
    <w:rsid w:val="00B40906"/>
    <w:rsid w:val="00B5365A"/>
    <w:rsid w:val="00B56B78"/>
    <w:rsid w:val="00B608EC"/>
    <w:rsid w:val="00B618F2"/>
    <w:rsid w:val="00B64B18"/>
    <w:rsid w:val="00B659CB"/>
    <w:rsid w:val="00B667B2"/>
    <w:rsid w:val="00B6706C"/>
    <w:rsid w:val="00B725E5"/>
    <w:rsid w:val="00B811B1"/>
    <w:rsid w:val="00B8292C"/>
    <w:rsid w:val="00B83F9C"/>
    <w:rsid w:val="00B84AAD"/>
    <w:rsid w:val="00B859DB"/>
    <w:rsid w:val="00B8745A"/>
    <w:rsid w:val="00B92868"/>
    <w:rsid w:val="00B92D0D"/>
    <w:rsid w:val="00B93100"/>
    <w:rsid w:val="00B959D1"/>
    <w:rsid w:val="00BA0022"/>
    <w:rsid w:val="00BA29C2"/>
    <w:rsid w:val="00BB02B0"/>
    <w:rsid w:val="00BC01A5"/>
    <w:rsid w:val="00BC27D3"/>
    <w:rsid w:val="00BC29DF"/>
    <w:rsid w:val="00BC2D41"/>
    <w:rsid w:val="00BC51B7"/>
    <w:rsid w:val="00BC5E75"/>
    <w:rsid w:val="00BD7F1B"/>
    <w:rsid w:val="00BE1E7F"/>
    <w:rsid w:val="00BE4324"/>
    <w:rsid w:val="00BE59FC"/>
    <w:rsid w:val="00BE6657"/>
    <w:rsid w:val="00BE7AD9"/>
    <w:rsid w:val="00BF1EB7"/>
    <w:rsid w:val="00BF52D5"/>
    <w:rsid w:val="00C02875"/>
    <w:rsid w:val="00C033C1"/>
    <w:rsid w:val="00C03950"/>
    <w:rsid w:val="00C135BC"/>
    <w:rsid w:val="00C13654"/>
    <w:rsid w:val="00C13D59"/>
    <w:rsid w:val="00C16641"/>
    <w:rsid w:val="00C203F5"/>
    <w:rsid w:val="00C206A5"/>
    <w:rsid w:val="00C20DA2"/>
    <w:rsid w:val="00C22681"/>
    <w:rsid w:val="00C23006"/>
    <w:rsid w:val="00C3317D"/>
    <w:rsid w:val="00C360EB"/>
    <w:rsid w:val="00C36612"/>
    <w:rsid w:val="00C36B4B"/>
    <w:rsid w:val="00C36ED5"/>
    <w:rsid w:val="00C44C32"/>
    <w:rsid w:val="00C46F09"/>
    <w:rsid w:val="00C51269"/>
    <w:rsid w:val="00C54796"/>
    <w:rsid w:val="00C5532C"/>
    <w:rsid w:val="00C60E35"/>
    <w:rsid w:val="00C6696D"/>
    <w:rsid w:val="00C762B1"/>
    <w:rsid w:val="00C76C28"/>
    <w:rsid w:val="00C771D2"/>
    <w:rsid w:val="00C8025E"/>
    <w:rsid w:val="00C85330"/>
    <w:rsid w:val="00C85412"/>
    <w:rsid w:val="00C86455"/>
    <w:rsid w:val="00C874AB"/>
    <w:rsid w:val="00C93BF9"/>
    <w:rsid w:val="00C946FE"/>
    <w:rsid w:val="00C95147"/>
    <w:rsid w:val="00C96FD1"/>
    <w:rsid w:val="00C9797A"/>
    <w:rsid w:val="00CA2F28"/>
    <w:rsid w:val="00CA4988"/>
    <w:rsid w:val="00CA5DF5"/>
    <w:rsid w:val="00CA63E0"/>
    <w:rsid w:val="00CB2A72"/>
    <w:rsid w:val="00CB3A45"/>
    <w:rsid w:val="00CB5E3F"/>
    <w:rsid w:val="00CB6767"/>
    <w:rsid w:val="00CB6CB1"/>
    <w:rsid w:val="00CC1EB6"/>
    <w:rsid w:val="00CC3CFF"/>
    <w:rsid w:val="00CC439B"/>
    <w:rsid w:val="00CC52EE"/>
    <w:rsid w:val="00CC5DC0"/>
    <w:rsid w:val="00CD14DE"/>
    <w:rsid w:val="00CD4AC8"/>
    <w:rsid w:val="00CD4F2E"/>
    <w:rsid w:val="00CE14C4"/>
    <w:rsid w:val="00CE195F"/>
    <w:rsid w:val="00CE32C2"/>
    <w:rsid w:val="00CE5E6F"/>
    <w:rsid w:val="00CE61F4"/>
    <w:rsid w:val="00CE681A"/>
    <w:rsid w:val="00CF08BF"/>
    <w:rsid w:val="00CF4333"/>
    <w:rsid w:val="00CF5A24"/>
    <w:rsid w:val="00CF7C28"/>
    <w:rsid w:val="00CF7D03"/>
    <w:rsid w:val="00D008F5"/>
    <w:rsid w:val="00D025B2"/>
    <w:rsid w:val="00D04349"/>
    <w:rsid w:val="00D0520A"/>
    <w:rsid w:val="00D07156"/>
    <w:rsid w:val="00D26350"/>
    <w:rsid w:val="00D2735E"/>
    <w:rsid w:val="00D27B5A"/>
    <w:rsid w:val="00D30432"/>
    <w:rsid w:val="00D3172E"/>
    <w:rsid w:val="00D350D6"/>
    <w:rsid w:val="00D3642C"/>
    <w:rsid w:val="00D41E05"/>
    <w:rsid w:val="00D4404A"/>
    <w:rsid w:val="00D4529D"/>
    <w:rsid w:val="00D60C86"/>
    <w:rsid w:val="00D6157B"/>
    <w:rsid w:val="00D63930"/>
    <w:rsid w:val="00D672E7"/>
    <w:rsid w:val="00D70363"/>
    <w:rsid w:val="00D70A62"/>
    <w:rsid w:val="00D713C8"/>
    <w:rsid w:val="00D71B75"/>
    <w:rsid w:val="00D83562"/>
    <w:rsid w:val="00D83E24"/>
    <w:rsid w:val="00D84003"/>
    <w:rsid w:val="00D844BA"/>
    <w:rsid w:val="00D87137"/>
    <w:rsid w:val="00D87E85"/>
    <w:rsid w:val="00D91B11"/>
    <w:rsid w:val="00D93822"/>
    <w:rsid w:val="00D957C8"/>
    <w:rsid w:val="00DA2072"/>
    <w:rsid w:val="00DA64B7"/>
    <w:rsid w:val="00DA7E40"/>
    <w:rsid w:val="00DB206C"/>
    <w:rsid w:val="00DB4A3F"/>
    <w:rsid w:val="00DB59BC"/>
    <w:rsid w:val="00DC0786"/>
    <w:rsid w:val="00DC1930"/>
    <w:rsid w:val="00DC30B7"/>
    <w:rsid w:val="00DC36C3"/>
    <w:rsid w:val="00DC3FD5"/>
    <w:rsid w:val="00DC49E2"/>
    <w:rsid w:val="00DC5861"/>
    <w:rsid w:val="00DC7A25"/>
    <w:rsid w:val="00DD1CEA"/>
    <w:rsid w:val="00DD35E4"/>
    <w:rsid w:val="00DD4E7C"/>
    <w:rsid w:val="00DD565E"/>
    <w:rsid w:val="00DD665C"/>
    <w:rsid w:val="00DD6972"/>
    <w:rsid w:val="00DE5C8D"/>
    <w:rsid w:val="00DF0692"/>
    <w:rsid w:val="00DF6735"/>
    <w:rsid w:val="00DF70CA"/>
    <w:rsid w:val="00E02B61"/>
    <w:rsid w:val="00E03070"/>
    <w:rsid w:val="00E032B1"/>
    <w:rsid w:val="00E1514D"/>
    <w:rsid w:val="00E16BFA"/>
    <w:rsid w:val="00E2245D"/>
    <w:rsid w:val="00E235C4"/>
    <w:rsid w:val="00E2381D"/>
    <w:rsid w:val="00E24621"/>
    <w:rsid w:val="00E2463A"/>
    <w:rsid w:val="00E271BD"/>
    <w:rsid w:val="00E30BAF"/>
    <w:rsid w:val="00E3221B"/>
    <w:rsid w:val="00E32A1D"/>
    <w:rsid w:val="00E3386A"/>
    <w:rsid w:val="00E44B12"/>
    <w:rsid w:val="00E47D1B"/>
    <w:rsid w:val="00E54E10"/>
    <w:rsid w:val="00E57CF1"/>
    <w:rsid w:val="00E6285D"/>
    <w:rsid w:val="00E648C4"/>
    <w:rsid w:val="00E72124"/>
    <w:rsid w:val="00E725BE"/>
    <w:rsid w:val="00E75180"/>
    <w:rsid w:val="00E773E8"/>
    <w:rsid w:val="00E83153"/>
    <w:rsid w:val="00E83A70"/>
    <w:rsid w:val="00E9007C"/>
    <w:rsid w:val="00E9245C"/>
    <w:rsid w:val="00E92E7F"/>
    <w:rsid w:val="00E96B4B"/>
    <w:rsid w:val="00EA0C32"/>
    <w:rsid w:val="00EA1C70"/>
    <w:rsid w:val="00EA4B53"/>
    <w:rsid w:val="00EA6E32"/>
    <w:rsid w:val="00EB1C51"/>
    <w:rsid w:val="00EB45EC"/>
    <w:rsid w:val="00EB6C17"/>
    <w:rsid w:val="00EB6D24"/>
    <w:rsid w:val="00EB771E"/>
    <w:rsid w:val="00EB7F5F"/>
    <w:rsid w:val="00EC0593"/>
    <w:rsid w:val="00EC23D0"/>
    <w:rsid w:val="00EC51AF"/>
    <w:rsid w:val="00EC5C0E"/>
    <w:rsid w:val="00EC7CD2"/>
    <w:rsid w:val="00ED2EC8"/>
    <w:rsid w:val="00ED3437"/>
    <w:rsid w:val="00ED4712"/>
    <w:rsid w:val="00ED699D"/>
    <w:rsid w:val="00EE2D68"/>
    <w:rsid w:val="00EE3EA6"/>
    <w:rsid w:val="00EE55AD"/>
    <w:rsid w:val="00EE5DF9"/>
    <w:rsid w:val="00EE7492"/>
    <w:rsid w:val="00EF0C86"/>
    <w:rsid w:val="00EF5879"/>
    <w:rsid w:val="00F0405D"/>
    <w:rsid w:val="00F16CDE"/>
    <w:rsid w:val="00F17047"/>
    <w:rsid w:val="00F214A8"/>
    <w:rsid w:val="00F225AF"/>
    <w:rsid w:val="00F244B9"/>
    <w:rsid w:val="00F30E93"/>
    <w:rsid w:val="00F3197C"/>
    <w:rsid w:val="00F31ED0"/>
    <w:rsid w:val="00F33DEC"/>
    <w:rsid w:val="00F3501C"/>
    <w:rsid w:val="00F361F8"/>
    <w:rsid w:val="00F4062E"/>
    <w:rsid w:val="00F4182E"/>
    <w:rsid w:val="00F41C1C"/>
    <w:rsid w:val="00F41FAD"/>
    <w:rsid w:val="00F46DFD"/>
    <w:rsid w:val="00F5014A"/>
    <w:rsid w:val="00F527C1"/>
    <w:rsid w:val="00F54831"/>
    <w:rsid w:val="00F5647A"/>
    <w:rsid w:val="00F5721C"/>
    <w:rsid w:val="00F57F42"/>
    <w:rsid w:val="00F601FD"/>
    <w:rsid w:val="00F6314B"/>
    <w:rsid w:val="00F6698D"/>
    <w:rsid w:val="00F709F5"/>
    <w:rsid w:val="00F7216E"/>
    <w:rsid w:val="00F72ED7"/>
    <w:rsid w:val="00F730D1"/>
    <w:rsid w:val="00F73BF6"/>
    <w:rsid w:val="00F741A0"/>
    <w:rsid w:val="00F805EE"/>
    <w:rsid w:val="00F8062E"/>
    <w:rsid w:val="00F83398"/>
    <w:rsid w:val="00F879AC"/>
    <w:rsid w:val="00F907F2"/>
    <w:rsid w:val="00F91A26"/>
    <w:rsid w:val="00F91D34"/>
    <w:rsid w:val="00F94C8A"/>
    <w:rsid w:val="00F9794C"/>
    <w:rsid w:val="00FA1116"/>
    <w:rsid w:val="00FA25B6"/>
    <w:rsid w:val="00FA587A"/>
    <w:rsid w:val="00FA5B5C"/>
    <w:rsid w:val="00FA5EDC"/>
    <w:rsid w:val="00FA6493"/>
    <w:rsid w:val="00FB0AEE"/>
    <w:rsid w:val="00FB4208"/>
    <w:rsid w:val="00FC29E1"/>
    <w:rsid w:val="00FC3958"/>
    <w:rsid w:val="00FC660D"/>
    <w:rsid w:val="00FD55A2"/>
    <w:rsid w:val="00FD6CCC"/>
    <w:rsid w:val="00FD7715"/>
    <w:rsid w:val="00FE0067"/>
    <w:rsid w:val="00FE1601"/>
    <w:rsid w:val="00FE22A0"/>
    <w:rsid w:val="00FE3863"/>
    <w:rsid w:val="00FE4541"/>
    <w:rsid w:val="00FE70A8"/>
    <w:rsid w:val="00FF26FB"/>
    <w:rsid w:val="00FF2B52"/>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A0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iPriority="99" w:unhideWhenUsed="1"/>
    <w:lsdException w:name="List Bullet" w:uiPriority="99"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800B5"/>
    <w:rPr>
      <w:sz w:val="22"/>
      <w:szCs w:val="24"/>
    </w:rPr>
  </w:style>
  <w:style w:type="paragraph" w:styleId="Heading1">
    <w:name w:val="heading 1"/>
    <w:next w:val="BodyText"/>
    <w:qFormat/>
    <w:rsid w:val="007138B7"/>
    <w:pPr>
      <w:keepNext/>
      <w:numPr>
        <w:numId w:val="15"/>
      </w:numPr>
      <w:tabs>
        <w:tab w:val="clear" w:pos="432"/>
        <w:tab w:val="num"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next w:val="BodyText"/>
    <w:qFormat/>
    <w:rsid w:val="007138B7"/>
    <w:pPr>
      <w:keepNext/>
      <w:numPr>
        <w:ilvl w:val="1"/>
        <w:numId w:val="15"/>
      </w:numPr>
      <w:tabs>
        <w:tab w:val="clear" w:pos="576"/>
        <w:tab w:val="left" w:pos="900"/>
      </w:tabs>
      <w:spacing w:before="240" w:after="120"/>
      <w:ind w:left="994" w:hanging="994"/>
      <w:outlineLvl w:val="1"/>
    </w:pPr>
    <w:rPr>
      <w:rFonts w:ascii="Arial" w:hAnsi="Arial" w:cs="Arial"/>
      <w:b/>
      <w:iCs/>
      <w:kern w:val="32"/>
      <w:sz w:val="32"/>
      <w:szCs w:val="28"/>
    </w:rPr>
  </w:style>
  <w:style w:type="paragraph" w:styleId="Heading3">
    <w:name w:val="heading 3"/>
    <w:next w:val="BodyText"/>
    <w:link w:val="Heading3Char"/>
    <w:qFormat/>
    <w:rsid w:val="00EB1C51"/>
    <w:pPr>
      <w:keepNext/>
      <w:numPr>
        <w:ilvl w:val="2"/>
        <w:numId w:val="15"/>
      </w:numPr>
      <w:tabs>
        <w:tab w:val="clear" w:pos="720"/>
        <w:tab w:val="num" w:pos="1080"/>
      </w:tabs>
      <w:spacing w:before="240" w:after="120"/>
      <w:ind w:left="1080" w:hanging="1080"/>
      <w:outlineLvl w:val="2"/>
    </w:pPr>
    <w:rPr>
      <w:rFonts w:ascii="Arial" w:hAnsi="Arial" w:cs="Arial"/>
      <w:b/>
      <w:bCs/>
      <w:iCs/>
      <w:kern w:val="32"/>
      <w:sz w:val="28"/>
      <w:szCs w:val="26"/>
    </w:rPr>
  </w:style>
  <w:style w:type="paragraph" w:styleId="Heading4">
    <w:name w:val="heading 4"/>
    <w:next w:val="BodyText"/>
    <w:qFormat/>
    <w:rsid w:val="00EB1C51"/>
    <w:pPr>
      <w:keepNext/>
      <w:numPr>
        <w:ilvl w:val="3"/>
        <w:numId w:val="15"/>
      </w:numPr>
      <w:tabs>
        <w:tab w:val="clear" w:pos="864"/>
        <w:tab w:val="num" w:pos="1080"/>
      </w:tabs>
      <w:spacing w:before="240" w:after="120"/>
      <w:ind w:left="1080" w:hanging="1080"/>
      <w:outlineLvl w:val="3"/>
    </w:pPr>
    <w:rPr>
      <w:rFonts w:ascii="Arial" w:hAnsi="Arial" w:cs="Arial"/>
      <w:b/>
      <w:bCs/>
      <w:sz w:val="24"/>
      <w:szCs w:val="28"/>
    </w:rPr>
  </w:style>
  <w:style w:type="paragraph" w:styleId="Heading5">
    <w:name w:val="heading 5"/>
    <w:next w:val="BodyText"/>
    <w:qFormat/>
    <w:rsid w:val="007D1D99"/>
    <w:pPr>
      <w:numPr>
        <w:ilvl w:val="4"/>
        <w:numId w:val="15"/>
      </w:numPr>
      <w:spacing w:before="360" w:after="240"/>
      <w:outlineLvl w:val="4"/>
    </w:pPr>
    <w:rPr>
      <w:rFonts w:ascii="Arial" w:hAnsi="Arial" w:cs="Arial"/>
      <w:b/>
      <w:bCs/>
      <w:iCs/>
      <w:sz w:val="28"/>
      <w:szCs w:val="28"/>
    </w:rPr>
  </w:style>
  <w:style w:type="paragraph" w:styleId="Heading6">
    <w:name w:val="heading 6"/>
    <w:next w:val="BodyText"/>
    <w:qFormat/>
    <w:rsid w:val="007D1D99"/>
    <w:pPr>
      <w:numPr>
        <w:ilvl w:val="5"/>
        <w:numId w:val="15"/>
      </w:numPr>
      <w:spacing w:before="120" w:after="120"/>
      <w:outlineLvl w:val="5"/>
    </w:pPr>
    <w:rPr>
      <w:rFonts w:ascii="Arial" w:hAnsi="Arial" w:cs="Arial"/>
      <w:bCs/>
      <w:sz w:val="22"/>
      <w:szCs w:val="22"/>
    </w:rPr>
  </w:style>
  <w:style w:type="paragraph" w:styleId="Heading7">
    <w:name w:val="heading 7"/>
    <w:basedOn w:val="Normal"/>
    <w:next w:val="Normal"/>
    <w:qFormat/>
    <w:rsid w:val="007D1D99"/>
    <w:pPr>
      <w:numPr>
        <w:ilvl w:val="6"/>
        <w:numId w:val="15"/>
      </w:numPr>
      <w:spacing w:before="240" w:after="60"/>
      <w:outlineLvl w:val="6"/>
    </w:pPr>
    <w:rPr>
      <w:sz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qFormat/>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7E536E"/>
    <w:pPr>
      <w:spacing w:before="60" w:after="60"/>
    </w:pPr>
    <w:rPr>
      <w:rFonts w:ascii="Arial" w:hAnsi="Arial" w:cs="Arial"/>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link w:val="BodyTextBullet1Char"/>
    <w:qFormat/>
    <w:rsid w:val="00A267E0"/>
    <w:pPr>
      <w:numPr>
        <w:numId w:val="5"/>
      </w:numPr>
      <w:spacing w:before="60" w:after="60"/>
    </w:pPr>
    <w:rPr>
      <w:sz w:val="24"/>
    </w:rPr>
  </w:style>
  <w:style w:type="paragraph" w:styleId="TOC1">
    <w:name w:val="toc 1"/>
    <w:basedOn w:val="Normal"/>
    <w:next w:val="Normal"/>
    <w:autoRedefine/>
    <w:uiPriority w:val="39"/>
    <w:rsid w:val="00C360EB"/>
    <w:pPr>
      <w:tabs>
        <w:tab w:val="left" w:pos="450"/>
        <w:tab w:val="right" w:leader="dot" w:pos="9350"/>
      </w:tabs>
      <w:spacing w:before="120" w:after="120"/>
    </w:pPr>
    <w:rPr>
      <w:b/>
      <w:noProof/>
      <w:szCs w:val="22"/>
    </w:rPr>
  </w:style>
  <w:style w:type="paragraph" w:styleId="TOC2">
    <w:name w:val="toc 2"/>
    <w:basedOn w:val="Normal"/>
    <w:next w:val="Normal"/>
    <w:autoRedefine/>
    <w:uiPriority w:val="39"/>
    <w:rsid w:val="00C360EB"/>
    <w:pPr>
      <w:tabs>
        <w:tab w:val="left" w:pos="900"/>
        <w:tab w:val="right" w:leader="dot" w:pos="9350"/>
      </w:tabs>
      <w:spacing w:before="60"/>
      <w:ind w:left="360"/>
    </w:pPr>
    <w:rPr>
      <w:noProof/>
      <w:szCs w:val="22"/>
    </w:rPr>
  </w:style>
  <w:style w:type="paragraph" w:styleId="TOC3">
    <w:name w:val="toc 3"/>
    <w:basedOn w:val="Normal"/>
    <w:next w:val="Normal"/>
    <w:autoRedefine/>
    <w:uiPriority w:val="39"/>
    <w:rsid w:val="00C360EB"/>
    <w:pPr>
      <w:tabs>
        <w:tab w:val="left" w:pos="1350"/>
        <w:tab w:val="right" w:leader="dot" w:pos="9350"/>
      </w:tabs>
      <w:spacing w:before="60"/>
      <w:ind w:left="547"/>
    </w:pPr>
    <w:rPr>
      <w:noProof/>
      <w:szCs w:val="22"/>
    </w:rPr>
  </w:style>
  <w:style w:type="paragraph" w:customStyle="1" w:styleId="BodyTextBullet2">
    <w:name w:val="Body Text Bullet 2"/>
    <w:uiPriority w:val="99"/>
    <w:qFormat/>
    <w:rsid w:val="00A267E0"/>
    <w:pPr>
      <w:numPr>
        <w:numId w:val="6"/>
      </w:numPr>
      <w:spacing w:before="60" w:after="60"/>
    </w:pPr>
    <w:rPr>
      <w:sz w:val="24"/>
    </w:rPr>
  </w:style>
  <w:style w:type="paragraph" w:customStyle="1" w:styleId="BodyTextNumbered1">
    <w:name w:val="Body Text Numbered 1"/>
    <w:qFormat/>
    <w:rsid w:val="00D713C8"/>
    <w:pPr>
      <w:numPr>
        <w:numId w:val="45"/>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C360EB"/>
    <w:pPr>
      <w:tabs>
        <w:tab w:val="left" w:pos="1760"/>
        <w:tab w:val="right" w:leader="dot" w:pos="9350"/>
      </w:tabs>
      <w:spacing w:before="60"/>
      <w:ind w:left="720"/>
    </w:pPr>
    <w:rPr>
      <w:noProof/>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766F0B"/>
    <w:pPr>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link w:val="InstructionalText1"/>
    <w:rsid w:val="00766F0B"/>
    <w:rPr>
      <w:i/>
      <w:iCs/>
      <w:color w:val="0000FF"/>
      <w:sz w:val="22"/>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15557A"/>
    <w:pPr>
      <w:numPr>
        <w:numId w:val="8"/>
      </w:numPr>
      <w:spacing w:before="60" w:after="60"/>
    </w:pPr>
    <w:rPr>
      <w:i/>
      <w:color w:val="0000FF"/>
      <w:sz w:val="22"/>
      <w:szCs w:val="24"/>
    </w:rPr>
  </w:style>
  <w:style w:type="paragraph" w:customStyle="1" w:styleId="InstructionalBullet2">
    <w:name w:val="Instructional Bullet 2"/>
    <w:basedOn w:val="InstructionalBullet1"/>
    <w:rsid w:val="004D0A93"/>
    <w:pPr>
      <w:numPr>
        <w:numId w:val="33"/>
      </w:numPr>
      <w:tabs>
        <w:tab w:val="clear" w:pos="720"/>
      </w:tabs>
      <w:ind w:left="144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B03BF3"/>
    <w:pPr>
      <w:ind w:left="360"/>
    </w:pPr>
  </w:style>
  <w:style w:type="character" w:customStyle="1" w:styleId="InstructionalText2Char">
    <w:name w:val="Instructional Text 2 Char"/>
    <w:basedOn w:val="InstructionalText1Char"/>
    <w:link w:val="InstructionalText2"/>
    <w:rsid w:val="00B03BF3"/>
    <w:rPr>
      <w:i/>
      <w:iCs/>
      <w:color w:val="0000FF"/>
      <w:sz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uiPriority w:val="35"/>
    <w:qFormat/>
    <w:rsid w:val="007E536E"/>
    <w:pPr>
      <w:keepNext/>
      <w:keepLines/>
      <w:spacing w:before="240" w:after="120"/>
    </w:pPr>
    <w:rPr>
      <w:rFonts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7E536E"/>
    <w:rPr>
      <w:rFonts w:ascii="Arial" w:hAnsi="Arial" w:cs="Arial"/>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uiPriority w:val="99"/>
    <w:rsid w:val="004F31E5"/>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uiPriority w:val="99"/>
    <w:locked/>
    <w:rsid w:val="004F31E5"/>
    <w:rPr>
      <w:rFonts w:ascii="Garamond" w:hAnsi="Garamond"/>
      <w:sz w:val="24"/>
      <w:szCs w:val="24"/>
    </w:rPr>
  </w:style>
  <w:style w:type="paragraph" w:customStyle="1" w:styleId="Note">
    <w:name w:val="Note"/>
    <w:basedOn w:val="BodyText"/>
    <w:link w:val="NoteChar"/>
    <w:qFormat/>
    <w:rsid w:val="004B7FD5"/>
    <w:pPr>
      <w:numPr>
        <w:numId w:val="14"/>
      </w:numPr>
      <w:pBdr>
        <w:top w:val="single" w:sz="6" w:space="1" w:color="auto"/>
        <w:bottom w:val="single" w:sz="6" w:space="1" w:color="auto"/>
      </w:pBdr>
      <w:shd w:val="clear" w:color="auto" w:fill="D9D9D9" w:themeFill="background1" w:themeFillShade="D9"/>
      <w:tabs>
        <w:tab w:val="clear" w:pos="1098"/>
        <w:tab w:val="num" w:pos="900"/>
      </w:tabs>
      <w:autoSpaceDE w:val="0"/>
      <w:autoSpaceDN w:val="0"/>
      <w:adjustRightInd w:val="0"/>
      <w:spacing w:before="240" w:after="240"/>
      <w:ind w:left="907" w:hanging="907"/>
    </w:pPr>
    <w:rPr>
      <w:i/>
      <w:iCs/>
      <w:color w:val="000000" w:themeColor="text1"/>
      <w:sz w:val="22"/>
      <w:szCs w:val="22"/>
    </w:rPr>
  </w:style>
  <w:style w:type="character" w:customStyle="1" w:styleId="NoteChar">
    <w:name w:val="Note Char"/>
    <w:basedOn w:val="BodyTextChar"/>
    <w:link w:val="Note"/>
    <w:rsid w:val="004B7FD5"/>
    <w:rPr>
      <w:i/>
      <w:iCs/>
      <w:color w:val="000000" w:themeColor="text1"/>
      <w:sz w:val="22"/>
      <w:szCs w:val="22"/>
      <w:shd w:val="clear" w:color="auto" w:fill="D9D9D9" w:themeFill="background1" w:themeFillShade="D9"/>
      <w:lang w:val="en-US" w:eastAsia="en-US" w:bidi="ar-SA"/>
    </w:rPr>
  </w:style>
  <w:style w:type="character" w:styleId="CommentReference">
    <w:name w:val="annotation reference"/>
    <w:basedOn w:val="DefaultParagraphFont"/>
    <w:rsid w:val="00282DF1"/>
    <w:rPr>
      <w:sz w:val="16"/>
      <w:szCs w:val="16"/>
    </w:rPr>
  </w:style>
  <w:style w:type="paragraph" w:styleId="CommentText">
    <w:name w:val="annotation text"/>
    <w:basedOn w:val="Normal"/>
    <w:link w:val="CommentTextChar"/>
    <w:rsid w:val="00282DF1"/>
    <w:rPr>
      <w:sz w:val="20"/>
      <w:szCs w:val="20"/>
    </w:rPr>
  </w:style>
  <w:style w:type="character" w:customStyle="1" w:styleId="CommentTextChar">
    <w:name w:val="Comment Text Char"/>
    <w:basedOn w:val="DefaultParagraphFont"/>
    <w:link w:val="CommentText"/>
    <w:rsid w:val="00282DF1"/>
  </w:style>
  <w:style w:type="paragraph" w:styleId="CommentSubject">
    <w:name w:val="annotation subject"/>
    <w:basedOn w:val="CommentText"/>
    <w:next w:val="CommentText"/>
    <w:link w:val="CommentSubjectChar"/>
    <w:rsid w:val="00282DF1"/>
    <w:rPr>
      <w:b/>
      <w:bCs/>
    </w:rPr>
  </w:style>
  <w:style w:type="character" w:customStyle="1" w:styleId="CommentSubjectChar">
    <w:name w:val="Comment Subject Char"/>
    <w:basedOn w:val="CommentTextChar"/>
    <w:link w:val="CommentSubject"/>
    <w:rsid w:val="00282DF1"/>
    <w:rPr>
      <w:b/>
      <w:bCs/>
    </w:rPr>
  </w:style>
  <w:style w:type="paragraph" w:styleId="Revision">
    <w:name w:val="Revision"/>
    <w:hidden/>
    <w:uiPriority w:val="99"/>
    <w:semiHidden/>
    <w:rsid w:val="00282DF1"/>
    <w:rPr>
      <w:sz w:val="22"/>
      <w:szCs w:val="24"/>
    </w:rPr>
  </w:style>
  <w:style w:type="character" w:customStyle="1" w:styleId="Heading3Char">
    <w:name w:val="Heading 3 Char"/>
    <w:basedOn w:val="DefaultParagraphFont"/>
    <w:link w:val="Heading3"/>
    <w:rsid w:val="00EB1C51"/>
    <w:rPr>
      <w:rFonts w:ascii="Arial" w:hAnsi="Arial" w:cs="Arial"/>
      <w:b/>
      <w:bCs/>
      <w:iCs/>
      <w:kern w:val="32"/>
      <w:sz w:val="28"/>
      <w:szCs w:val="26"/>
    </w:rPr>
  </w:style>
  <w:style w:type="paragraph" w:styleId="ListBullet">
    <w:name w:val="List Bullet"/>
    <w:basedOn w:val="Normal"/>
    <w:link w:val="ListBulletChar"/>
    <w:uiPriority w:val="99"/>
    <w:qFormat/>
    <w:rsid w:val="00AE41FA"/>
    <w:pPr>
      <w:numPr>
        <w:numId w:val="13"/>
      </w:numPr>
      <w:contextualSpacing/>
    </w:pPr>
  </w:style>
  <w:style w:type="character" w:customStyle="1" w:styleId="ListBulletChar">
    <w:name w:val="List Bullet Char"/>
    <w:basedOn w:val="DefaultParagraphFont"/>
    <w:link w:val="ListBullet"/>
    <w:uiPriority w:val="99"/>
    <w:locked/>
    <w:rsid w:val="00AE41FA"/>
    <w:rPr>
      <w:sz w:val="22"/>
      <w:szCs w:val="24"/>
    </w:rPr>
  </w:style>
  <w:style w:type="character" w:styleId="HTMLCode">
    <w:name w:val="HTML Code"/>
    <w:basedOn w:val="DefaultParagraphFont"/>
    <w:rsid w:val="00771B1F"/>
    <w:rPr>
      <w:rFonts w:ascii="Courier New" w:hAnsi="Courier New" w:cs="Courier New"/>
      <w:sz w:val="20"/>
      <w:szCs w:val="20"/>
    </w:rPr>
  </w:style>
  <w:style w:type="paragraph" w:styleId="NormalWeb">
    <w:name w:val="Normal (Web)"/>
    <w:basedOn w:val="Normal"/>
    <w:uiPriority w:val="99"/>
    <w:unhideWhenUsed/>
    <w:rsid w:val="000F2008"/>
    <w:pPr>
      <w:spacing w:before="100" w:beforeAutospacing="1" w:after="100" w:afterAutospacing="1"/>
    </w:pPr>
    <w:rPr>
      <w:sz w:val="24"/>
    </w:rPr>
  </w:style>
  <w:style w:type="paragraph" w:styleId="ListParagraph">
    <w:name w:val="List Paragraph"/>
    <w:basedOn w:val="Normal"/>
    <w:uiPriority w:val="34"/>
    <w:qFormat/>
    <w:rsid w:val="001A01F5"/>
    <w:pPr>
      <w:ind w:left="720"/>
      <w:contextualSpacing/>
    </w:pPr>
  </w:style>
  <w:style w:type="paragraph" w:styleId="BodyTextIndent">
    <w:name w:val="Body Text Indent"/>
    <w:basedOn w:val="Normal"/>
    <w:link w:val="BodyTextIndentChar"/>
    <w:rsid w:val="00672FD9"/>
    <w:pPr>
      <w:spacing w:after="120"/>
      <w:ind w:left="360"/>
    </w:pPr>
  </w:style>
  <w:style w:type="character" w:customStyle="1" w:styleId="BodyTextIndentChar">
    <w:name w:val="Body Text Indent Char"/>
    <w:basedOn w:val="DefaultParagraphFont"/>
    <w:link w:val="BodyTextIndent"/>
    <w:rsid w:val="00672FD9"/>
    <w:rPr>
      <w:sz w:val="22"/>
      <w:szCs w:val="24"/>
    </w:rPr>
  </w:style>
  <w:style w:type="paragraph" w:customStyle="1" w:styleId="Institution">
    <w:name w:val="Institution"/>
    <w:basedOn w:val="Normal"/>
    <w:qFormat/>
    <w:rsid w:val="00C85412"/>
    <w:pPr>
      <w:tabs>
        <w:tab w:val="num" w:pos="360"/>
      </w:tabs>
      <w:autoSpaceDE w:val="0"/>
      <w:autoSpaceDN w:val="0"/>
      <w:adjustRightInd w:val="0"/>
      <w:spacing w:before="120" w:after="120"/>
      <w:jc w:val="center"/>
    </w:pPr>
    <w:rPr>
      <w:rFonts w:ascii="Arial Rounded MT Bold" w:hAnsi="Arial Rounded MT Bold" w:cs="Arial"/>
      <w:b/>
      <w:bCs/>
      <w:color w:val="000000" w:themeColor="text1"/>
      <w:sz w:val="32"/>
      <w:szCs w:val="32"/>
    </w:rPr>
  </w:style>
  <w:style w:type="paragraph" w:customStyle="1" w:styleId="ProjectName">
    <w:name w:val="Project Name"/>
    <w:basedOn w:val="Normal"/>
    <w:rsid w:val="00C85412"/>
    <w:pPr>
      <w:spacing w:before="720"/>
      <w:jc w:val="center"/>
    </w:pPr>
    <w:rPr>
      <w:rFonts w:ascii="Arial" w:eastAsia="Batang" w:hAnsi="Arial"/>
      <w:b/>
      <w:color w:val="000000" w:themeColor="text1"/>
      <w:sz w:val="40"/>
      <w:szCs w:val="40"/>
      <w:lang w:eastAsia="ko-KR"/>
    </w:rPr>
  </w:style>
  <w:style w:type="paragraph" w:styleId="List">
    <w:name w:val="List"/>
    <w:basedOn w:val="Normal"/>
    <w:uiPriority w:val="99"/>
    <w:rsid w:val="00C85412"/>
    <w:pPr>
      <w:tabs>
        <w:tab w:val="num" w:pos="360"/>
      </w:tabs>
      <w:ind w:left="360" w:hanging="360"/>
    </w:pPr>
    <w:rPr>
      <w:color w:val="000000" w:themeColor="text1"/>
      <w:sz w:val="20"/>
      <w:szCs w:val="20"/>
    </w:rPr>
  </w:style>
  <w:style w:type="paragraph" w:customStyle="1" w:styleId="CaptionTable">
    <w:name w:val="Caption Table"/>
    <w:basedOn w:val="Caption"/>
    <w:qFormat/>
    <w:rsid w:val="00951F22"/>
  </w:style>
  <w:style w:type="character" w:customStyle="1" w:styleId="BodyTextBullet1Char">
    <w:name w:val="Body Text Bullet 1 Char"/>
    <w:link w:val="BodyTextBullet1"/>
    <w:rsid w:val="00A267E0"/>
    <w:rPr>
      <w:sz w:val="24"/>
    </w:rPr>
  </w:style>
  <w:style w:type="paragraph" w:customStyle="1" w:styleId="RefNote">
    <w:name w:val="Ref Note"/>
    <w:basedOn w:val="Note"/>
    <w:qFormat/>
    <w:rsid w:val="005E0541"/>
    <w:pPr>
      <w:numPr>
        <w:numId w:val="0"/>
      </w:numPr>
      <w:tabs>
        <w:tab w:val="left" w:pos="720"/>
      </w:tabs>
      <w:ind w:left="720" w:hanging="720"/>
    </w:pPr>
  </w:style>
  <w:style w:type="character" w:customStyle="1" w:styleId="ms-wikipagenameeditor-display">
    <w:name w:val="ms-wikipagenameeditor-display"/>
    <w:basedOn w:val="DefaultParagraphFont"/>
    <w:rsid w:val="000D3407"/>
  </w:style>
  <w:style w:type="paragraph" w:customStyle="1" w:styleId="InstructionalFooter">
    <w:name w:val="Instructional Footer"/>
    <w:next w:val="Footer"/>
    <w:qFormat/>
    <w:rsid w:val="004428E7"/>
    <w:pPr>
      <w:tabs>
        <w:tab w:val="left" w:pos="0"/>
      </w:tabs>
    </w:pPr>
    <w:rPr>
      <w:rFonts w:cs="Tahoma"/>
      <w:i/>
      <w:color w:val="0000FF"/>
      <w:szCs w:val="16"/>
    </w:rPr>
  </w:style>
  <w:style w:type="paragraph" w:styleId="BodyTextFirstIndent2">
    <w:name w:val="Body Text First Indent 2"/>
    <w:basedOn w:val="BodyTextIndent"/>
    <w:link w:val="BodyTextFirstIndent2Char"/>
    <w:rsid w:val="00C85330"/>
    <w:pPr>
      <w:spacing w:after="0"/>
      <w:ind w:firstLine="360"/>
    </w:pPr>
  </w:style>
  <w:style w:type="character" w:customStyle="1" w:styleId="BodyTextFirstIndent2Char">
    <w:name w:val="Body Text First Indent 2 Char"/>
    <w:basedOn w:val="BodyTextIndentChar"/>
    <w:link w:val="BodyTextFirstIndent2"/>
    <w:rsid w:val="00C85330"/>
    <w:rPr>
      <w:sz w:val="22"/>
      <w:szCs w:val="24"/>
    </w:rPr>
  </w:style>
  <w:style w:type="paragraph" w:customStyle="1" w:styleId="Default">
    <w:name w:val="Default"/>
    <w:rsid w:val="00387800"/>
    <w:pPr>
      <w:autoSpaceDE w:val="0"/>
      <w:autoSpaceDN w:val="0"/>
      <w:adjustRightInd w:val="0"/>
    </w:pPr>
    <w:rPr>
      <w:color w:val="000000"/>
      <w:sz w:val="24"/>
      <w:szCs w:val="24"/>
    </w:rPr>
  </w:style>
  <w:style w:type="paragraph" w:styleId="NoteHeading">
    <w:name w:val="Note Heading"/>
    <w:basedOn w:val="Normal"/>
    <w:next w:val="Normal"/>
    <w:link w:val="NoteHeadingChar"/>
    <w:rsid w:val="00DC36C3"/>
  </w:style>
  <w:style w:type="character" w:customStyle="1" w:styleId="NoteHeadingChar">
    <w:name w:val="Note Heading Char"/>
    <w:basedOn w:val="DefaultParagraphFont"/>
    <w:link w:val="NoteHeading"/>
    <w:rsid w:val="00DC36C3"/>
    <w:rPr>
      <w:sz w:val="22"/>
      <w:szCs w:val="24"/>
    </w:rPr>
  </w:style>
  <w:style w:type="paragraph" w:styleId="ListNumber">
    <w:name w:val="List Number"/>
    <w:basedOn w:val="Normal"/>
    <w:rsid w:val="00144B97"/>
    <w:pPr>
      <w:numPr>
        <w:numId w:val="24"/>
      </w:numPr>
      <w:contextualSpacing/>
    </w:pPr>
  </w:style>
  <w:style w:type="paragraph" w:styleId="BodyTextIndent2">
    <w:name w:val="Body Text Indent 2"/>
    <w:basedOn w:val="Normal"/>
    <w:link w:val="BodyTextIndent2Char"/>
    <w:rsid w:val="00CA2F28"/>
    <w:pPr>
      <w:spacing w:after="120" w:line="480" w:lineRule="auto"/>
      <w:ind w:left="360"/>
    </w:pPr>
  </w:style>
  <w:style w:type="character" w:customStyle="1" w:styleId="BodyTextIndent2Char">
    <w:name w:val="Body Text Indent 2 Char"/>
    <w:basedOn w:val="DefaultParagraphFont"/>
    <w:link w:val="BodyTextIndent2"/>
    <w:rsid w:val="00CA2F28"/>
    <w:rPr>
      <w:sz w:val="22"/>
      <w:szCs w:val="24"/>
    </w:rPr>
  </w:style>
  <w:style w:type="paragraph" w:styleId="BodyTextFirstIndent">
    <w:name w:val="Body Text First Indent"/>
    <w:basedOn w:val="BodyText"/>
    <w:link w:val="BodyTextFirstIndentChar"/>
    <w:rsid w:val="00CA2F28"/>
    <w:pPr>
      <w:spacing w:before="0" w:after="0"/>
      <w:ind w:left="720"/>
    </w:pPr>
    <w:rPr>
      <w:sz w:val="22"/>
      <w:szCs w:val="24"/>
    </w:rPr>
  </w:style>
  <w:style w:type="character" w:customStyle="1" w:styleId="BodyTextFirstIndentChar">
    <w:name w:val="Body Text First Indent Char"/>
    <w:basedOn w:val="BodyTextChar"/>
    <w:link w:val="BodyTextFirstIndent"/>
    <w:rsid w:val="00CA2F28"/>
    <w:rPr>
      <w:sz w:val="22"/>
      <w:szCs w:val="24"/>
      <w:lang w:val="en-US" w:eastAsia="en-US" w:bidi="ar-SA"/>
    </w:rPr>
  </w:style>
  <w:style w:type="paragraph" w:styleId="ListBullet2">
    <w:name w:val="List Bullet 2"/>
    <w:basedOn w:val="Normal"/>
    <w:rsid w:val="00CA2F28"/>
    <w:pPr>
      <w:numPr>
        <w:numId w:val="21"/>
      </w:numPr>
      <w:contextualSpacing/>
    </w:pPr>
  </w:style>
  <w:style w:type="paragraph" w:styleId="ListBullet3">
    <w:name w:val="List Bullet 3"/>
    <w:basedOn w:val="Normal"/>
    <w:rsid w:val="00CA2F28"/>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593339">
      <w:bodyDiv w:val="1"/>
      <w:marLeft w:val="0"/>
      <w:marRight w:val="0"/>
      <w:marTop w:val="0"/>
      <w:marBottom w:val="0"/>
      <w:divBdr>
        <w:top w:val="none" w:sz="0" w:space="0" w:color="auto"/>
        <w:left w:val="none" w:sz="0" w:space="0" w:color="auto"/>
        <w:bottom w:val="none" w:sz="0" w:space="0" w:color="auto"/>
        <w:right w:val="none" w:sz="0" w:space="0" w:color="auto"/>
      </w:divBdr>
    </w:div>
    <w:div w:id="863857962">
      <w:bodyDiv w:val="1"/>
      <w:marLeft w:val="0"/>
      <w:marRight w:val="0"/>
      <w:marTop w:val="0"/>
      <w:marBottom w:val="0"/>
      <w:divBdr>
        <w:top w:val="none" w:sz="0" w:space="0" w:color="auto"/>
        <w:left w:val="none" w:sz="0" w:space="0" w:color="auto"/>
        <w:bottom w:val="none" w:sz="0" w:space="0" w:color="auto"/>
        <w:right w:val="none" w:sz="0" w:space="0" w:color="auto"/>
      </w:divBdr>
      <w:divsChild>
        <w:div w:id="914777600">
          <w:marLeft w:val="0"/>
          <w:marRight w:val="0"/>
          <w:marTop w:val="0"/>
          <w:marBottom w:val="0"/>
          <w:divBdr>
            <w:top w:val="none" w:sz="0" w:space="0" w:color="auto"/>
            <w:left w:val="none" w:sz="0" w:space="0" w:color="auto"/>
            <w:bottom w:val="none" w:sz="0" w:space="0" w:color="auto"/>
            <w:right w:val="none" w:sz="0" w:space="0" w:color="auto"/>
          </w:divBdr>
          <w:divsChild>
            <w:div w:id="1905219478">
              <w:marLeft w:val="0"/>
              <w:marRight w:val="0"/>
              <w:marTop w:val="0"/>
              <w:marBottom w:val="0"/>
              <w:divBdr>
                <w:top w:val="none" w:sz="0" w:space="0" w:color="auto"/>
                <w:left w:val="none" w:sz="0" w:space="0" w:color="auto"/>
                <w:bottom w:val="none" w:sz="0" w:space="0" w:color="auto"/>
                <w:right w:val="none" w:sz="0" w:space="0" w:color="auto"/>
              </w:divBdr>
              <w:divsChild>
                <w:div w:id="346564490">
                  <w:marLeft w:val="0"/>
                  <w:marRight w:val="0"/>
                  <w:marTop w:val="0"/>
                  <w:marBottom w:val="0"/>
                  <w:divBdr>
                    <w:top w:val="none" w:sz="0" w:space="0" w:color="auto"/>
                    <w:left w:val="none" w:sz="0" w:space="0" w:color="auto"/>
                    <w:bottom w:val="none" w:sz="0" w:space="0" w:color="auto"/>
                    <w:right w:val="none" w:sz="0" w:space="0" w:color="auto"/>
                  </w:divBdr>
                  <w:divsChild>
                    <w:div w:id="392772362">
                      <w:marLeft w:val="2325"/>
                      <w:marRight w:val="0"/>
                      <w:marTop w:val="0"/>
                      <w:marBottom w:val="0"/>
                      <w:divBdr>
                        <w:top w:val="none" w:sz="0" w:space="0" w:color="auto"/>
                        <w:left w:val="none" w:sz="0" w:space="0" w:color="auto"/>
                        <w:bottom w:val="none" w:sz="0" w:space="0" w:color="auto"/>
                        <w:right w:val="none" w:sz="0" w:space="0" w:color="auto"/>
                      </w:divBdr>
                      <w:divsChild>
                        <w:div w:id="1712224208">
                          <w:marLeft w:val="0"/>
                          <w:marRight w:val="0"/>
                          <w:marTop w:val="0"/>
                          <w:marBottom w:val="0"/>
                          <w:divBdr>
                            <w:top w:val="none" w:sz="0" w:space="0" w:color="auto"/>
                            <w:left w:val="none" w:sz="0" w:space="0" w:color="auto"/>
                            <w:bottom w:val="none" w:sz="0" w:space="0" w:color="auto"/>
                            <w:right w:val="none" w:sz="0" w:space="0" w:color="auto"/>
                          </w:divBdr>
                          <w:divsChild>
                            <w:div w:id="49041963">
                              <w:marLeft w:val="0"/>
                              <w:marRight w:val="0"/>
                              <w:marTop w:val="0"/>
                              <w:marBottom w:val="0"/>
                              <w:divBdr>
                                <w:top w:val="none" w:sz="0" w:space="0" w:color="auto"/>
                                <w:left w:val="none" w:sz="0" w:space="0" w:color="auto"/>
                                <w:bottom w:val="none" w:sz="0" w:space="0" w:color="auto"/>
                                <w:right w:val="none" w:sz="0" w:space="0" w:color="auto"/>
                              </w:divBdr>
                              <w:divsChild>
                                <w:div w:id="1856116514">
                                  <w:marLeft w:val="0"/>
                                  <w:marRight w:val="0"/>
                                  <w:marTop w:val="0"/>
                                  <w:marBottom w:val="0"/>
                                  <w:divBdr>
                                    <w:top w:val="none" w:sz="0" w:space="0" w:color="auto"/>
                                    <w:left w:val="none" w:sz="0" w:space="0" w:color="auto"/>
                                    <w:bottom w:val="none" w:sz="0" w:space="0" w:color="auto"/>
                                    <w:right w:val="none" w:sz="0" w:space="0" w:color="auto"/>
                                  </w:divBdr>
                                  <w:divsChild>
                                    <w:div w:id="1359895141">
                                      <w:marLeft w:val="0"/>
                                      <w:marRight w:val="0"/>
                                      <w:marTop w:val="0"/>
                                      <w:marBottom w:val="0"/>
                                      <w:divBdr>
                                        <w:top w:val="none" w:sz="0" w:space="0" w:color="auto"/>
                                        <w:left w:val="none" w:sz="0" w:space="0" w:color="auto"/>
                                        <w:bottom w:val="none" w:sz="0" w:space="0" w:color="auto"/>
                                        <w:right w:val="none" w:sz="0" w:space="0" w:color="auto"/>
                                      </w:divBdr>
                                      <w:divsChild>
                                        <w:div w:id="2052142736">
                                          <w:marLeft w:val="0"/>
                                          <w:marRight w:val="0"/>
                                          <w:marTop w:val="0"/>
                                          <w:marBottom w:val="0"/>
                                          <w:divBdr>
                                            <w:top w:val="none" w:sz="0" w:space="0" w:color="auto"/>
                                            <w:left w:val="none" w:sz="0" w:space="0" w:color="auto"/>
                                            <w:bottom w:val="none" w:sz="0" w:space="0" w:color="auto"/>
                                            <w:right w:val="none" w:sz="0" w:space="0" w:color="auto"/>
                                          </w:divBdr>
                                          <w:divsChild>
                                            <w:div w:id="1673532447">
                                              <w:marLeft w:val="0"/>
                                              <w:marRight w:val="0"/>
                                              <w:marTop w:val="0"/>
                                              <w:marBottom w:val="0"/>
                                              <w:divBdr>
                                                <w:top w:val="none" w:sz="0" w:space="0" w:color="auto"/>
                                                <w:left w:val="none" w:sz="0" w:space="0" w:color="auto"/>
                                                <w:bottom w:val="none" w:sz="0" w:space="0" w:color="auto"/>
                                                <w:right w:val="none" w:sz="0" w:space="0" w:color="auto"/>
                                              </w:divBdr>
                                              <w:divsChild>
                                                <w:div w:id="465926519">
                                                  <w:marLeft w:val="0"/>
                                                  <w:marRight w:val="0"/>
                                                  <w:marTop w:val="0"/>
                                                  <w:marBottom w:val="0"/>
                                                  <w:divBdr>
                                                    <w:top w:val="none" w:sz="0" w:space="0" w:color="auto"/>
                                                    <w:left w:val="none" w:sz="0" w:space="0" w:color="auto"/>
                                                    <w:bottom w:val="none" w:sz="0" w:space="0" w:color="auto"/>
                                                    <w:right w:val="none" w:sz="0" w:space="0" w:color="auto"/>
                                                  </w:divBdr>
                                                  <w:divsChild>
                                                    <w:div w:id="15350933">
                                                      <w:marLeft w:val="0"/>
                                                      <w:marRight w:val="0"/>
                                                      <w:marTop w:val="0"/>
                                                      <w:marBottom w:val="0"/>
                                                      <w:divBdr>
                                                        <w:top w:val="none" w:sz="0" w:space="0" w:color="auto"/>
                                                        <w:left w:val="none" w:sz="0" w:space="0" w:color="auto"/>
                                                        <w:bottom w:val="none" w:sz="0" w:space="0" w:color="auto"/>
                                                        <w:right w:val="none" w:sz="0" w:space="0" w:color="auto"/>
                                                      </w:divBdr>
                                                      <w:divsChild>
                                                        <w:div w:id="1154486296">
                                                          <w:marLeft w:val="15"/>
                                                          <w:marRight w:val="15"/>
                                                          <w:marTop w:val="15"/>
                                                          <w:marBottom w:val="15"/>
                                                          <w:divBdr>
                                                            <w:top w:val="none" w:sz="0" w:space="0" w:color="auto"/>
                                                            <w:left w:val="none" w:sz="0" w:space="0" w:color="auto"/>
                                                            <w:bottom w:val="none" w:sz="0" w:space="0" w:color="auto"/>
                                                            <w:right w:val="none" w:sz="0" w:space="0" w:color="auto"/>
                                                          </w:divBdr>
                                                          <w:divsChild>
                                                            <w:div w:id="1354259340">
                                                              <w:marLeft w:val="0"/>
                                                              <w:marRight w:val="0"/>
                                                              <w:marTop w:val="0"/>
                                                              <w:marBottom w:val="0"/>
                                                              <w:divBdr>
                                                                <w:top w:val="none" w:sz="0" w:space="0" w:color="auto"/>
                                                                <w:left w:val="none" w:sz="0" w:space="0" w:color="auto"/>
                                                                <w:bottom w:val="none" w:sz="0" w:space="0" w:color="auto"/>
                                                                <w:right w:val="none" w:sz="0" w:space="0" w:color="auto"/>
                                                              </w:divBdr>
                                                            </w:div>
                                                            <w:div w:id="609893954">
                                                              <w:marLeft w:val="0"/>
                                                              <w:marRight w:val="0"/>
                                                              <w:marTop w:val="0"/>
                                                              <w:marBottom w:val="0"/>
                                                              <w:divBdr>
                                                                <w:top w:val="none" w:sz="0" w:space="0" w:color="auto"/>
                                                                <w:left w:val="none" w:sz="0" w:space="0" w:color="auto"/>
                                                                <w:bottom w:val="none" w:sz="0" w:space="0" w:color="auto"/>
                                                                <w:right w:val="none" w:sz="0" w:space="0" w:color="auto"/>
                                                              </w:divBdr>
                                                            </w:div>
                                                            <w:div w:id="1972633881">
                                                              <w:marLeft w:val="0"/>
                                                              <w:marRight w:val="0"/>
                                                              <w:marTop w:val="0"/>
                                                              <w:marBottom w:val="0"/>
                                                              <w:divBdr>
                                                                <w:top w:val="none" w:sz="0" w:space="0" w:color="auto"/>
                                                                <w:left w:val="none" w:sz="0" w:space="0" w:color="auto"/>
                                                                <w:bottom w:val="none" w:sz="0" w:space="0" w:color="auto"/>
                                                                <w:right w:val="none" w:sz="0" w:space="0" w:color="auto"/>
                                                              </w:divBdr>
                                                            </w:div>
                                                            <w:div w:id="40187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23913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39509718">
      <w:bodyDiv w:val="1"/>
      <w:marLeft w:val="0"/>
      <w:marRight w:val="0"/>
      <w:marTop w:val="0"/>
      <w:marBottom w:val="0"/>
      <w:divBdr>
        <w:top w:val="none" w:sz="0" w:space="0" w:color="auto"/>
        <w:left w:val="none" w:sz="0" w:space="0" w:color="auto"/>
        <w:bottom w:val="none" w:sz="0" w:space="0" w:color="auto"/>
        <w:right w:val="none" w:sz="0" w:space="0" w:color="auto"/>
      </w:divBdr>
    </w:div>
    <w:div w:id="1584606521">
      <w:bodyDiv w:val="1"/>
      <w:marLeft w:val="0"/>
      <w:marRight w:val="0"/>
      <w:marTop w:val="0"/>
      <w:marBottom w:val="0"/>
      <w:divBdr>
        <w:top w:val="none" w:sz="0" w:space="0" w:color="auto"/>
        <w:left w:val="none" w:sz="0" w:space="0" w:color="auto"/>
        <w:bottom w:val="none" w:sz="0" w:space="0" w:color="auto"/>
        <w:right w:val="none" w:sz="0" w:space="0" w:color="auto"/>
      </w:divBdr>
    </w:div>
    <w:div w:id="2125225317">
      <w:bodyDiv w:val="1"/>
      <w:marLeft w:val="0"/>
      <w:marRight w:val="0"/>
      <w:marTop w:val="0"/>
      <w:marBottom w:val="0"/>
      <w:divBdr>
        <w:top w:val="none" w:sz="0" w:space="0" w:color="auto"/>
        <w:left w:val="none" w:sz="0" w:space="0" w:color="auto"/>
        <w:bottom w:val="none" w:sz="0" w:space="0" w:color="auto"/>
        <w:right w:val="none" w:sz="0" w:space="0" w:color="auto"/>
      </w:divBdr>
      <w:divsChild>
        <w:div w:id="820580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II" TargetMode="External"/><Relationship Id="rId18" Type="http://schemas.openxmlformats.org/officeDocument/2006/relationships/image" Target="media/image6.gif"/><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9.gif"/><Relationship Id="rId7" Type="http://schemas.openxmlformats.org/officeDocument/2006/relationships/image" Target="media/image1.gif"/><Relationship Id="rId12" Type="http://schemas.openxmlformats.org/officeDocument/2006/relationships/hyperlink" Target="mailto:PII" TargetMode="External"/><Relationship Id="rId17" Type="http://schemas.openxmlformats.org/officeDocument/2006/relationships/image" Target="media/image5.gif"/><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4.gif"/><Relationship Id="rId20" Type="http://schemas.openxmlformats.org/officeDocument/2006/relationships/image" Target="media/image8.gi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II" TargetMode="External"/><Relationship Id="rId24" Type="http://schemas.openxmlformats.org/officeDocument/2006/relationships/image" Target="media/image12.gif"/><Relationship Id="rId5" Type="http://schemas.openxmlformats.org/officeDocument/2006/relationships/footnotes" Target="footnotes.xml"/><Relationship Id="rId15" Type="http://schemas.openxmlformats.org/officeDocument/2006/relationships/image" Target="media/image3.gif"/><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hyperlink" Target="http://DNS.URL" TargetMode="External"/><Relationship Id="rId19" Type="http://schemas.openxmlformats.org/officeDocument/2006/relationships/image" Target="media/image7.gi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PII" TargetMode="External"/><Relationship Id="rId22" Type="http://schemas.openxmlformats.org/officeDocument/2006/relationships/image" Target="media/image10.gif"/><Relationship Id="rId27" Type="http://schemas.openxmlformats.org/officeDocument/2006/relationships/image" Target="media/image15.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5657</Words>
  <Characters>32247</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2019-02-22T16:25:00Z</dcterms:created>
  <dcterms:modified xsi:type="dcterms:W3CDTF">2019-02-22T18:21:00Z</dcterms:modified>
</cp:coreProperties>
</file>